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3178" w14:textId="4C47AFE2" w:rsidR="00316AD6" w:rsidRPr="00F73568" w:rsidRDefault="00316AD6" w:rsidP="00F73568">
      <w:pPr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73568">
        <w:rPr>
          <w:rFonts w:ascii="Times New Roman" w:hAnsi="Times New Roman" w:cs="Times New Roman"/>
          <w:b/>
          <w:bCs/>
          <w:color w:val="000000"/>
          <w:lang w:val="en-US"/>
        </w:rPr>
        <w:t>Real-world data-based external control</w:t>
      </w:r>
      <w:r w:rsidR="00CE2129"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 w:rsidRPr="00F73568">
        <w:rPr>
          <w:rFonts w:ascii="Times New Roman" w:hAnsi="Times New Roman" w:cs="Times New Roman"/>
          <w:b/>
          <w:bCs/>
          <w:color w:val="000000"/>
          <w:lang w:val="en-US"/>
        </w:rPr>
        <w:t xml:space="preserve"> for assessing long-term benefit-risk of cell and gene therapies: insights and </w:t>
      </w:r>
      <w:proofErr w:type="gramStart"/>
      <w:r w:rsidRPr="00F73568">
        <w:rPr>
          <w:rFonts w:ascii="Times New Roman" w:hAnsi="Times New Roman" w:cs="Times New Roman"/>
          <w:b/>
          <w:bCs/>
          <w:color w:val="000000"/>
          <w:lang w:val="en-US"/>
        </w:rPr>
        <w:t>perspectives</w:t>
      </w:r>
      <w:proofErr w:type="gramEnd"/>
    </w:p>
    <w:p w14:paraId="61FE9552" w14:textId="77777777" w:rsidR="00316AD6" w:rsidRPr="00F73568" w:rsidRDefault="00316AD6" w:rsidP="00F73568">
      <w:pPr>
        <w:pStyle w:val="NormalWeb"/>
        <w:spacing w:before="120" w:beforeAutospacing="0" w:after="0" w:afterAutospacing="0" w:line="300" w:lineRule="atLeast"/>
        <w:jc w:val="both"/>
        <w:rPr>
          <w:sz w:val="22"/>
          <w:szCs w:val="22"/>
          <w:lang w:val="en-US"/>
        </w:rPr>
      </w:pPr>
      <w:r w:rsidRPr="00F73568">
        <w:rPr>
          <w:b/>
          <w:bCs/>
          <w:color w:val="000000"/>
          <w:sz w:val="22"/>
          <w:szCs w:val="22"/>
          <w:lang w:val="en-US"/>
        </w:rPr>
        <w:t>Background</w:t>
      </w:r>
    </w:p>
    <w:p w14:paraId="7EB344A0" w14:textId="6C5C0EC6" w:rsidR="00316AD6" w:rsidRPr="00F73568" w:rsidRDefault="00316AD6" w:rsidP="00F73568">
      <w:pPr>
        <w:pStyle w:val="NormalWeb"/>
        <w:spacing w:before="0" w:beforeAutospacing="0" w:after="0" w:afterAutospacing="0" w:line="300" w:lineRule="atLeast"/>
        <w:jc w:val="both"/>
        <w:rPr>
          <w:color w:val="444444"/>
          <w:sz w:val="22"/>
          <w:szCs w:val="22"/>
          <w:shd w:val="clear" w:color="auto" w:fill="FFFFFF"/>
          <w:lang w:val="en-US"/>
        </w:rPr>
      </w:pPr>
      <w:r w:rsidRPr="00F73568">
        <w:rPr>
          <w:sz w:val="22"/>
          <w:szCs w:val="22"/>
          <w:lang w:val="en-US"/>
        </w:rPr>
        <w:t>Cell and gene therapies (</w:t>
      </w:r>
      <w:proofErr w:type="spellStart"/>
      <w:r w:rsidRPr="00F73568">
        <w:rPr>
          <w:sz w:val="22"/>
          <w:szCs w:val="22"/>
          <w:lang w:val="en-US"/>
        </w:rPr>
        <w:t>CGTs</w:t>
      </w:r>
      <w:proofErr w:type="spellEnd"/>
      <w:r w:rsidRPr="00F73568">
        <w:rPr>
          <w:sz w:val="22"/>
          <w:szCs w:val="22"/>
          <w:lang w:val="en-US"/>
        </w:rPr>
        <w:t xml:space="preserve">) are becoming increasingly important to the treatment landscape for rare, chronic, and debilitating genetic diseases. </w:t>
      </w:r>
      <w:r w:rsidRPr="00F73568">
        <w:rPr>
          <w:sz w:val="22"/>
          <w:szCs w:val="22"/>
          <w:lang w:val="en-GB"/>
        </w:rPr>
        <w:t xml:space="preserve">Evaluation of long-term safety and effectiveness of </w:t>
      </w:r>
      <w:proofErr w:type="spellStart"/>
      <w:r w:rsidRPr="00F73568">
        <w:rPr>
          <w:sz w:val="22"/>
          <w:szCs w:val="22"/>
          <w:lang w:val="en-GB"/>
        </w:rPr>
        <w:t>CGTs</w:t>
      </w:r>
      <w:proofErr w:type="spellEnd"/>
      <w:r w:rsidRPr="00F73568">
        <w:rPr>
          <w:sz w:val="22"/>
          <w:szCs w:val="22"/>
          <w:lang w:val="en-GB"/>
        </w:rPr>
        <w:t xml:space="preserve"> usually includes extension studies that follow patients for up to 15 years after clinical trial completion, as well as post-authorization safety studies of patients receiving CGT in routine clinical practice. </w:t>
      </w:r>
      <w:r w:rsidRPr="00F73568">
        <w:rPr>
          <w:sz w:val="22"/>
          <w:szCs w:val="22"/>
          <w:lang w:val="en-US"/>
        </w:rPr>
        <w:t xml:space="preserve">However, </w:t>
      </w:r>
      <w:r w:rsidR="00AC3CEE">
        <w:rPr>
          <w:sz w:val="22"/>
          <w:szCs w:val="22"/>
          <w:lang w:val="en-US"/>
        </w:rPr>
        <w:t>long-term follow-up (</w:t>
      </w:r>
      <w:proofErr w:type="spellStart"/>
      <w:r w:rsidRPr="00F73568">
        <w:rPr>
          <w:sz w:val="22"/>
          <w:szCs w:val="22"/>
          <w:lang w:val="en-US"/>
        </w:rPr>
        <w:t>LTFU</w:t>
      </w:r>
      <w:proofErr w:type="spellEnd"/>
      <w:r w:rsidR="00AC3CEE">
        <w:rPr>
          <w:sz w:val="22"/>
          <w:szCs w:val="22"/>
          <w:lang w:val="en-US"/>
        </w:rPr>
        <w:t>)</w:t>
      </w:r>
      <w:r w:rsidRPr="00F73568">
        <w:rPr>
          <w:sz w:val="22"/>
          <w:szCs w:val="22"/>
          <w:lang w:val="en-US"/>
        </w:rPr>
        <w:t xml:space="preserve"> studies are often designed as non-interventional, single cohort studies, and comparative analyses contextualizing findings can be challenging. External controls using real-world data (</w:t>
      </w:r>
      <w:proofErr w:type="spellStart"/>
      <w:r w:rsidRPr="00F73568">
        <w:rPr>
          <w:sz w:val="22"/>
          <w:szCs w:val="22"/>
          <w:lang w:val="en-US"/>
        </w:rPr>
        <w:t>RWD</w:t>
      </w:r>
      <w:proofErr w:type="spellEnd"/>
      <w:r w:rsidRPr="00F73568">
        <w:rPr>
          <w:sz w:val="22"/>
          <w:szCs w:val="22"/>
          <w:lang w:val="en-US"/>
        </w:rPr>
        <w:t xml:space="preserve">) are critical to understanding the long-term benefit-risk of </w:t>
      </w:r>
      <w:proofErr w:type="spellStart"/>
      <w:r w:rsidRPr="00F73568">
        <w:rPr>
          <w:sz w:val="22"/>
          <w:szCs w:val="22"/>
          <w:lang w:val="en-US"/>
        </w:rPr>
        <w:t>CGTs</w:t>
      </w:r>
      <w:proofErr w:type="spellEnd"/>
      <w:r w:rsidRPr="00F73568">
        <w:rPr>
          <w:sz w:val="22"/>
          <w:szCs w:val="22"/>
          <w:lang w:val="en-US"/>
        </w:rPr>
        <w:t xml:space="preserve">. </w:t>
      </w:r>
    </w:p>
    <w:p w14:paraId="3E5CA629" w14:textId="77777777" w:rsidR="00316AD6" w:rsidRPr="00F73568" w:rsidRDefault="00316AD6" w:rsidP="00F73568">
      <w:pPr>
        <w:pStyle w:val="NormalWeb"/>
        <w:spacing w:before="120" w:beforeAutospacing="0" w:after="0" w:afterAutospacing="0" w:line="300" w:lineRule="atLeast"/>
        <w:jc w:val="both"/>
        <w:rPr>
          <w:b/>
          <w:bCs/>
          <w:color w:val="000000"/>
          <w:sz w:val="22"/>
          <w:szCs w:val="22"/>
          <w:lang w:val="en-US"/>
        </w:rPr>
      </w:pPr>
      <w:r w:rsidRPr="00F73568">
        <w:rPr>
          <w:b/>
          <w:bCs/>
          <w:color w:val="000000"/>
          <w:sz w:val="22"/>
          <w:szCs w:val="22"/>
          <w:lang w:val="en-US"/>
        </w:rPr>
        <w:t>Objectives</w:t>
      </w:r>
    </w:p>
    <w:p w14:paraId="035F4C70" w14:textId="77777777" w:rsidR="00316AD6" w:rsidRPr="00F73568" w:rsidRDefault="00316AD6" w:rsidP="00F73568">
      <w:pPr>
        <w:pStyle w:val="NormalWeb"/>
        <w:spacing w:before="0" w:beforeAutospacing="0" w:after="0" w:afterAutospacing="0" w:line="300" w:lineRule="atLeast"/>
        <w:jc w:val="both"/>
        <w:rPr>
          <w:sz w:val="22"/>
          <w:szCs w:val="22"/>
          <w:lang w:val="en-US"/>
        </w:rPr>
      </w:pPr>
      <w:r w:rsidRPr="00F73568">
        <w:rPr>
          <w:sz w:val="22"/>
          <w:szCs w:val="22"/>
          <w:lang w:val="en-US"/>
        </w:rPr>
        <w:t xml:space="preserve">The objective of the symposia will be to highlight the opportunities and challenges in the design and conduct of </w:t>
      </w:r>
      <w:proofErr w:type="spellStart"/>
      <w:r w:rsidRPr="00F73568">
        <w:rPr>
          <w:sz w:val="22"/>
          <w:szCs w:val="22"/>
          <w:lang w:val="en-US"/>
        </w:rPr>
        <w:t>LTFU</w:t>
      </w:r>
      <w:proofErr w:type="spellEnd"/>
      <w:r w:rsidRPr="00F73568">
        <w:rPr>
          <w:sz w:val="22"/>
          <w:szCs w:val="22"/>
          <w:lang w:val="en-US"/>
        </w:rPr>
        <w:t xml:space="preserve"> studies for CGT, discussing the solution of external controls using </w:t>
      </w:r>
      <w:proofErr w:type="spellStart"/>
      <w:r w:rsidRPr="00F73568">
        <w:rPr>
          <w:sz w:val="22"/>
          <w:szCs w:val="22"/>
          <w:lang w:val="en-US"/>
        </w:rPr>
        <w:t>RWD</w:t>
      </w:r>
      <w:proofErr w:type="spellEnd"/>
      <w:r w:rsidRPr="00F73568">
        <w:rPr>
          <w:sz w:val="22"/>
          <w:szCs w:val="22"/>
          <w:lang w:val="en-US"/>
        </w:rPr>
        <w:t xml:space="preserve"> for comparative research.</w:t>
      </w:r>
    </w:p>
    <w:p w14:paraId="7A041A7C" w14:textId="77777777" w:rsidR="00551CAE" w:rsidRPr="00F73568" w:rsidRDefault="00551CAE" w:rsidP="00F73568">
      <w:pPr>
        <w:pStyle w:val="NormalWeb"/>
        <w:spacing w:before="0" w:beforeAutospacing="0" w:after="0" w:afterAutospacing="0" w:line="300" w:lineRule="atLeast"/>
        <w:jc w:val="both"/>
        <w:rPr>
          <w:sz w:val="22"/>
          <w:szCs w:val="22"/>
          <w:lang w:val="en-US"/>
        </w:rPr>
      </w:pPr>
      <w:r w:rsidRPr="00F73568">
        <w:rPr>
          <w:color w:val="000000"/>
          <w:sz w:val="22"/>
          <w:szCs w:val="22"/>
          <w:lang w:val="en-US"/>
        </w:rPr>
        <w:t xml:space="preserve">Presentations will highlight perspective and/or experience from several stakeholders on practical, </w:t>
      </w:r>
      <w:proofErr w:type="gramStart"/>
      <w:r w:rsidRPr="00F73568">
        <w:rPr>
          <w:color w:val="000000"/>
          <w:sz w:val="22"/>
          <w:szCs w:val="22"/>
          <w:lang w:val="en-US"/>
        </w:rPr>
        <w:t>operational</w:t>
      </w:r>
      <w:proofErr w:type="gramEnd"/>
      <w:r w:rsidRPr="00F73568">
        <w:rPr>
          <w:color w:val="000000"/>
          <w:sz w:val="22"/>
          <w:szCs w:val="22"/>
          <w:lang w:val="en-US"/>
        </w:rPr>
        <w:t xml:space="preserve"> and methodological specificities of </w:t>
      </w:r>
      <w:proofErr w:type="spellStart"/>
      <w:r w:rsidRPr="00F73568">
        <w:rPr>
          <w:color w:val="000000"/>
          <w:sz w:val="22"/>
          <w:szCs w:val="22"/>
          <w:lang w:val="en-US"/>
        </w:rPr>
        <w:t>RWD</w:t>
      </w:r>
      <w:proofErr w:type="spellEnd"/>
      <w:r w:rsidRPr="00F73568">
        <w:rPr>
          <w:color w:val="000000"/>
          <w:sz w:val="22"/>
          <w:szCs w:val="22"/>
          <w:lang w:val="en-US"/>
        </w:rPr>
        <w:t xml:space="preserve">-based external controls applicable to </w:t>
      </w:r>
      <w:proofErr w:type="spellStart"/>
      <w:r w:rsidRPr="00F73568">
        <w:rPr>
          <w:color w:val="000000"/>
          <w:sz w:val="22"/>
          <w:szCs w:val="22"/>
          <w:lang w:val="en-US"/>
        </w:rPr>
        <w:t>LTFU</w:t>
      </w:r>
      <w:proofErr w:type="spellEnd"/>
      <w:r w:rsidRPr="00F73568">
        <w:rPr>
          <w:color w:val="000000"/>
          <w:sz w:val="22"/>
          <w:szCs w:val="22"/>
          <w:lang w:val="en-US"/>
        </w:rPr>
        <w:t xml:space="preserve"> studies for </w:t>
      </w:r>
      <w:proofErr w:type="spellStart"/>
      <w:r w:rsidRPr="00F73568">
        <w:rPr>
          <w:color w:val="000000"/>
          <w:sz w:val="22"/>
          <w:szCs w:val="22"/>
          <w:lang w:val="en-US"/>
        </w:rPr>
        <w:t>CGTs</w:t>
      </w:r>
      <w:proofErr w:type="spellEnd"/>
      <w:r w:rsidRPr="00F73568">
        <w:rPr>
          <w:color w:val="000000"/>
          <w:sz w:val="22"/>
          <w:szCs w:val="22"/>
          <w:lang w:val="en-US"/>
        </w:rPr>
        <w:t>.</w:t>
      </w:r>
    </w:p>
    <w:p w14:paraId="0A78F0ED" w14:textId="77777777" w:rsidR="00316AD6" w:rsidRPr="00F73568" w:rsidRDefault="00316AD6" w:rsidP="00F73568">
      <w:pPr>
        <w:pStyle w:val="NormalWeb"/>
        <w:spacing w:before="120" w:beforeAutospacing="0" w:after="0" w:afterAutospacing="0" w:line="300" w:lineRule="atLeast"/>
        <w:jc w:val="both"/>
        <w:rPr>
          <w:b/>
          <w:bCs/>
          <w:color w:val="000000"/>
          <w:sz w:val="22"/>
          <w:szCs w:val="22"/>
          <w:lang w:val="en-US"/>
        </w:rPr>
      </w:pPr>
      <w:r w:rsidRPr="00F73568">
        <w:rPr>
          <w:b/>
          <w:bCs/>
          <w:color w:val="000000"/>
          <w:sz w:val="22"/>
          <w:szCs w:val="22"/>
          <w:lang w:val="en-US"/>
        </w:rPr>
        <w:t>Description</w:t>
      </w:r>
    </w:p>
    <w:p w14:paraId="5CBF5A89" w14:textId="7DE4B525" w:rsidR="00220CFE" w:rsidRDefault="004B6C05" w:rsidP="00F73568">
      <w:pPr>
        <w:spacing w:after="0" w:line="300" w:lineRule="atLeast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The proposed structure of the symposium is as follows (all speakers are confirmed): </w:t>
      </w:r>
    </w:p>
    <w:p w14:paraId="34011A94" w14:textId="77777777" w:rsidR="00F73568" w:rsidRPr="00F73568" w:rsidRDefault="00F73568" w:rsidP="00F73568">
      <w:pPr>
        <w:spacing w:after="0" w:line="300" w:lineRule="atLeast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5457"/>
        <w:gridCol w:w="2970"/>
      </w:tblGrid>
      <w:tr w:rsidR="00C724EA" w:rsidRPr="004B6C05" w14:paraId="4E075260" w14:textId="77777777" w:rsidTr="00C724EA">
        <w:trPr>
          <w:trHeight w:val="73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6D51" w14:textId="77777777" w:rsidR="00F73568" w:rsidRPr="004B6C05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Time allotment</w:t>
            </w:r>
          </w:p>
        </w:tc>
        <w:tc>
          <w:tcPr>
            <w:tcW w:w="5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F9631" w14:textId="77777777" w:rsidR="00F73568" w:rsidRPr="004B6C05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Topic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A081" w14:textId="77777777" w:rsidR="00F73568" w:rsidRPr="004B6C05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Potential Speakers</w:t>
            </w:r>
          </w:p>
        </w:tc>
      </w:tr>
      <w:tr w:rsidR="00C724EA" w:rsidRPr="00F73568" w14:paraId="1A3F34BC" w14:textId="77777777" w:rsidTr="00B57B98">
        <w:trPr>
          <w:trHeight w:val="86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FABB" w14:textId="3186192B" w:rsidR="00F73568" w:rsidRPr="004B6C05" w:rsidRDefault="0094103F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5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80D8" w14:textId="617B73A7" w:rsidR="00F73568" w:rsidRPr="00F73568" w:rsidRDefault="00F73568" w:rsidP="00AC3CE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 xml:space="preserve">Opening - Welcome introduction on </w:t>
            </w:r>
            <w:r w:rsidR="00AC3CEE">
              <w:rPr>
                <w:rFonts w:ascii="Times New Roman" w:hAnsi="Times New Roman" w:cs="Times New Roman"/>
                <w:color w:val="000000"/>
                <w:lang w:val="en-US"/>
              </w:rPr>
              <w:t>benefit-risk</w:t>
            </w: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AC3CEE">
              <w:rPr>
                <w:rFonts w:ascii="Times New Roman" w:hAnsi="Times New Roman" w:cs="Times New Roman"/>
                <w:color w:val="000000"/>
                <w:lang w:val="en-US"/>
              </w:rPr>
              <w:t xml:space="preserve">and </w:t>
            </w:r>
            <w:r w:rsidR="00AC3CEE" w:rsidRPr="00F73568">
              <w:rPr>
                <w:rFonts w:ascii="Times New Roman" w:hAnsi="Times New Roman" w:cs="Times New Roman"/>
                <w:color w:val="000000"/>
                <w:lang w:val="en-US"/>
              </w:rPr>
              <w:t xml:space="preserve">potential </w:t>
            </w: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 xml:space="preserve">long-term clinical consequences of </w:t>
            </w: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CGTs</w:t>
            </w:r>
            <w:proofErr w:type="spellEnd"/>
          </w:p>
        </w:tc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19CC" w14:textId="77777777" w:rsidR="00F73568" w:rsidRPr="00B57B98" w:rsidRDefault="00F73568" w:rsidP="009410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7B98">
              <w:rPr>
                <w:rFonts w:ascii="Times New Roman" w:hAnsi="Times New Roman" w:cs="Times New Roman"/>
                <w:color w:val="000000"/>
              </w:rPr>
              <w:t>Moderator</w:t>
            </w:r>
            <w:r w:rsidR="0094103F" w:rsidRPr="00B57B98">
              <w:rPr>
                <w:rFonts w:ascii="Times New Roman" w:hAnsi="Times New Roman" w:cs="Times New Roman"/>
                <w:color w:val="000000"/>
              </w:rPr>
              <w:t>s:</w:t>
            </w:r>
          </w:p>
          <w:p w14:paraId="607C64F2" w14:textId="77777777" w:rsidR="0094103F" w:rsidRPr="00B57B98" w:rsidRDefault="0094103F" w:rsidP="009410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7B98">
              <w:rPr>
                <w:rFonts w:ascii="Times New Roman" w:hAnsi="Times New Roman" w:cs="Times New Roman"/>
                <w:color w:val="000000"/>
              </w:rPr>
              <w:t>Katie Miller (Genentech)</w:t>
            </w:r>
          </w:p>
          <w:p w14:paraId="01C5BF0E" w14:textId="47578DAC" w:rsidR="00475499" w:rsidRPr="005B3899" w:rsidRDefault="00475499" w:rsidP="0094103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B57B98">
              <w:rPr>
                <w:rFonts w:ascii="Times New Roman" w:hAnsi="Times New Roman" w:cs="Times New Roman"/>
                <w:color w:val="000000"/>
              </w:rPr>
              <w:t>Seun O</w:t>
            </w:r>
            <w:r w:rsidR="005B3899" w:rsidRPr="00B57B98">
              <w:rPr>
                <w:rFonts w:ascii="Times New Roman" w:hAnsi="Times New Roman" w:cs="Times New Roman"/>
                <w:color w:val="000000"/>
              </w:rPr>
              <w:t>s</w:t>
            </w:r>
            <w:r w:rsidR="005B3899">
              <w:rPr>
                <w:rFonts w:ascii="Times New Roman" w:hAnsi="Times New Roman" w:cs="Times New Roman"/>
                <w:color w:val="000000"/>
              </w:rPr>
              <w:t>undolire (Pfizer)</w:t>
            </w:r>
          </w:p>
        </w:tc>
      </w:tr>
      <w:tr w:rsidR="00C724EA" w:rsidRPr="004B6C05" w14:paraId="6CBCF41C" w14:textId="77777777" w:rsidTr="00C724EA">
        <w:trPr>
          <w:trHeight w:val="109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6D011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10mn</w:t>
            </w:r>
            <w:proofErr w:type="spellEnd"/>
          </w:p>
        </w:tc>
        <w:tc>
          <w:tcPr>
            <w:tcW w:w="5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D666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 xml:space="preserve">Patient perspective on long-term monitoring of </w:t>
            </w: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CGTs</w:t>
            </w:r>
            <w:proofErr w:type="spellEnd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: constraints, opportunities for tailored patient-centered approaches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C28" w14:textId="01B5843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Reid D’Amico (</w:t>
            </w: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IQVIA</w:t>
            </w:r>
            <w:proofErr w:type="spellEnd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, CGT SIG member)</w:t>
            </w:r>
          </w:p>
        </w:tc>
      </w:tr>
      <w:tr w:rsidR="00C724EA" w:rsidRPr="004B6C05" w14:paraId="66B6F413" w14:textId="77777777" w:rsidTr="00C724EA">
        <w:trPr>
          <w:trHeight w:val="73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BE40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10mn</w:t>
            </w:r>
            <w:proofErr w:type="spellEnd"/>
          </w:p>
        </w:tc>
        <w:tc>
          <w:tcPr>
            <w:tcW w:w="5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85C43" w14:textId="7D02F773" w:rsidR="00F73568" w:rsidRPr="00F73568" w:rsidRDefault="004B6C05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A1BDA">
              <w:rPr>
                <w:rFonts w:ascii="Times New Roman" w:hAnsi="Times New Roman" w:cs="Times New Roman"/>
                <w:lang w:val="en-US"/>
              </w:rPr>
              <w:t xml:space="preserve">Regulatory </w:t>
            </w:r>
            <w:r>
              <w:rPr>
                <w:rFonts w:ascii="Times New Roman" w:hAnsi="Times New Roman" w:cs="Times New Roman"/>
                <w:lang w:val="en-US"/>
              </w:rPr>
              <w:t xml:space="preserve">considerations </w:t>
            </w:r>
            <w:r w:rsidRPr="00BA1BDA">
              <w:rPr>
                <w:rFonts w:ascii="Times New Roman" w:hAnsi="Times New Roman" w:cs="Times New Roman"/>
                <w:lang w:val="en-US"/>
              </w:rPr>
              <w:t xml:space="preserve">on external controls for comparative </w:t>
            </w:r>
            <w:proofErr w:type="spellStart"/>
            <w:r w:rsidRPr="00BA1BDA">
              <w:rPr>
                <w:rFonts w:ascii="Times New Roman" w:hAnsi="Times New Roman" w:cs="Times New Roman"/>
                <w:lang w:val="en-US"/>
              </w:rPr>
              <w:t>LTFU</w:t>
            </w:r>
            <w:proofErr w:type="spellEnd"/>
            <w:r w:rsidRPr="00BA1BDA">
              <w:rPr>
                <w:rFonts w:ascii="Times New Roman" w:hAnsi="Times New Roman" w:cs="Times New Roman"/>
                <w:lang w:val="en-US"/>
              </w:rPr>
              <w:t xml:space="preserve"> studies for </w:t>
            </w:r>
            <w:proofErr w:type="spellStart"/>
            <w:r w:rsidRPr="00BA1BDA">
              <w:rPr>
                <w:rFonts w:ascii="Times New Roman" w:hAnsi="Times New Roman" w:cs="Times New Roman"/>
                <w:lang w:val="en-US"/>
              </w:rPr>
              <w:t>CGTs</w:t>
            </w:r>
            <w:proofErr w:type="spellEnd"/>
          </w:p>
        </w:tc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86D53" w14:textId="5C1649BB" w:rsidR="00F73568" w:rsidRPr="00F73568" w:rsidRDefault="004B6C05" w:rsidP="004B6C0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4B6C05">
              <w:rPr>
                <w:rFonts w:ascii="Times New Roman" w:hAnsi="Times New Roman" w:cs="Times New Roman"/>
                <w:color w:val="222222"/>
                <w:lang w:val="en-US"/>
              </w:rPr>
              <w:t>L.T. (Lour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ens) Bloem (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Utretch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University)</w:t>
            </w:r>
          </w:p>
        </w:tc>
      </w:tr>
      <w:tr w:rsidR="00C724EA" w:rsidRPr="004B6C05" w14:paraId="26F7A233" w14:textId="77777777" w:rsidTr="00C724EA">
        <w:trPr>
          <w:trHeight w:val="108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E5E76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10mn</w:t>
            </w:r>
            <w:proofErr w:type="spellEnd"/>
          </w:p>
        </w:tc>
        <w:tc>
          <w:tcPr>
            <w:tcW w:w="5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9B61" w14:textId="750436E2" w:rsidR="00F73568" w:rsidRPr="00F73568" w:rsidRDefault="00AC3CEE" w:rsidP="00AC3CE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D</w:t>
            </w:r>
            <w:r w:rsidR="00F73568" w:rsidRPr="00F73568">
              <w:rPr>
                <w:rFonts w:ascii="Times New Roman" w:hAnsi="Times New Roman" w:cs="Times New Roman"/>
                <w:color w:val="222222"/>
                <w:lang w:val="en-US"/>
              </w:rPr>
              <w:t xml:space="preserve">esign and conduct of external comparators, special challenges in rare disease populations for CGT </w:t>
            </w:r>
            <w:proofErr w:type="spellStart"/>
            <w:r w:rsidR="00F73568" w:rsidRPr="00F73568">
              <w:rPr>
                <w:rFonts w:ascii="Times New Roman" w:hAnsi="Times New Roman" w:cs="Times New Roman"/>
                <w:color w:val="222222"/>
                <w:lang w:val="en-US"/>
              </w:rPr>
              <w:t>LTFU</w:t>
            </w:r>
            <w:proofErr w:type="spellEnd"/>
            <w:r w:rsidR="00F73568" w:rsidRPr="00F73568">
              <w:rPr>
                <w:rFonts w:ascii="Times New Roman" w:hAnsi="Times New Roman" w:cs="Times New Roman"/>
                <w:color w:val="222222"/>
                <w:lang w:val="en-US"/>
              </w:rPr>
              <w:t xml:space="preserve"> studies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88CB" w14:textId="6BD29485" w:rsidR="00F73568" w:rsidRPr="00F73568" w:rsidRDefault="00F73568" w:rsidP="004B6C0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>Reese Sy (Pfizer) </w:t>
            </w:r>
          </w:p>
        </w:tc>
      </w:tr>
      <w:tr w:rsidR="00C724EA" w:rsidRPr="004B6C05" w14:paraId="35A08013" w14:textId="77777777" w:rsidTr="00C724EA">
        <w:trPr>
          <w:trHeight w:val="85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38D3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10mn</w:t>
            </w:r>
            <w:proofErr w:type="spellEnd"/>
          </w:p>
        </w:tc>
        <w:tc>
          <w:tcPr>
            <w:tcW w:w="5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EB644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 xml:space="preserve">Identifying fit-for-purpose </w:t>
            </w:r>
            <w:proofErr w:type="spellStart"/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>RWD</w:t>
            </w:r>
            <w:proofErr w:type="spellEnd"/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 xml:space="preserve"> for external controls in CGT </w:t>
            </w:r>
            <w:proofErr w:type="spellStart"/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>LTFU</w:t>
            </w:r>
            <w:proofErr w:type="spellEnd"/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 xml:space="preserve"> studies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30B6" w14:textId="08989F6A" w:rsidR="00F73568" w:rsidRPr="00C724EA" w:rsidRDefault="00C724EA" w:rsidP="004B6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Hannah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Furby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="00F73568" w:rsidRPr="00F73568">
              <w:rPr>
                <w:rFonts w:ascii="Times New Roman" w:hAnsi="Times New Roman" w:cs="Times New Roman"/>
                <w:color w:val="000000"/>
                <w:lang w:val="en-US"/>
              </w:rPr>
              <w:t>Roche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</w:p>
        </w:tc>
      </w:tr>
      <w:tr w:rsidR="00C724EA" w:rsidRPr="004B6C05" w14:paraId="058FBEA9" w14:textId="77777777" w:rsidTr="00C724EA">
        <w:trPr>
          <w:trHeight w:val="79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1717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10mn</w:t>
            </w:r>
            <w:proofErr w:type="spellEnd"/>
          </w:p>
        </w:tc>
        <w:tc>
          <w:tcPr>
            <w:tcW w:w="5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8C46A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 xml:space="preserve">Feasibility of assessing comparative long-term benefit of </w:t>
            </w:r>
            <w:proofErr w:type="spellStart"/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>CGTs</w:t>
            </w:r>
            <w:proofErr w:type="spellEnd"/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 xml:space="preserve"> using </w:t>
            </w:r>
            <w:proofErr w:type="spellStart"/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>RWD</w:t>
            </w:r>
            <w:proofErr w:type="spellEnd"/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>-based external control arm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0866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 xml:space="preserve">CY </w:t>
            </w:r>
            <w:proofErr w:type="spellStart"/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>Vossen</w:t>
            </w:r>
            <w:proofErr w:type="spellEnd"/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 xml:space="preserve"> (</w:t>
            </w: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Syneos</w:t>
            </w:r>
            <w:proofErr w:type="spellEnd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 xml:space="preserve"> Health)</w:t>
            </w:r>
          </w:p>
          <w:p w14:paraId="76430E7D" w14:textId="62286AF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</w:p>
        </w:tc>
      </w:tr>
      <w:tr w:rsidR="00C724EA" w:rsidRPr="00F73568" w14:paraId="3BDE22AA" w14:textId="77777777" w:rsidTr="00C724EA">
        <w:trPr>
          <w:trHeight w:val="73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0693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10mn</w:t>
            </w:r>
            <w:proofErr w:type="spellEnd"/>
          </w:p>
        </w:tc>
        <w:tc>
          <w:tcPr>
            <w:tcW w:w="5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238C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 xml:space="preserve">Statistical considerations for the </w:t>
            </w: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LTFU</w:t>
            </w:r>
            <w:proofErr w:type="spellEnd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 xml:space="preserve"> of gene therapy trial participants: Platform </w:t>
            </w: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LTFU</w:t>
            </w:r>
            <w:proofErr w:type="spellEnd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 xml:space="preserve"> trials for real-world comparative research of </w:t>
            </w:r>
            <w:proofErr w:type="spellStart"/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CGTs</w:t>
            </w:r>
            <w:proofErr w:type="spellEnd"/>
          </w:p>
        </w:tc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8C4D" w14:textId="439C6E2E" w:rsidR="00F73568" w:rsidRPr="00F73568" w:rsidRDefault="00F73568" w:rsidP="004B6C05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 xml:space="preserve">Avery McIntosh (Pfizer) </w:t>
            </w:r>
          </w:p>
        </w:tc>
      </w:tr>
      <w:tr w:rsidR="00C724EA" w:rsidRPr="00F73568" w14:paraId="7B67D75C" w14:textId="77777777" w:rsidTr="00C724EA">
        <w:trPr>
          <w:trHeight w:val="93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1E1D" w14:textId="588B5A55" w:rsidR="00F73568" w:rsidRPr="00F73568" w:rsidRDefault="0094103F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  <w:r w:rsidRPr="00F73568">
              <w:rPr>
                <w:rFonts w:ascii="Times New Roman" w:hAnsi="Times New Roman" w:cs="Times New Roman"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5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0736" w14:textId="0EB56D8A" w:rsidR="00F73568" w:rsidRPr="00F73568" w:rsidRDefault="00F73568" w:rsidP="00AC3CE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 xml:space="preserve">Open discussion 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7AA29" w14:textId="77777777" w:rsidR="00F73568" w:rsidRPr="00F73568" w:rsidRDefault="00F73568" w:rsidP="00C724EA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F73568">
              <w:rPr>
                <w:rFonts w:ascii="Times New Roman" w:hAnsi="Times New Roman" w:cs="Times New Roman"/>
                <w:color w:val="222222"/>
                <w:lang w:val="en-US"/>
              </w:rPr>
              <w:t>Q&amp;A</w:t>
            </w:r>
          </w:p>
        </w:tc>
      </w:tr>
    </w:tbl>
    <w:p w14:paraId="59BDD6E9" w14:textId="77777777" w:rsidR="00220CFE" w:rsidRPr="00F73568" w:rsidRDefault="00220CFE" w:rsidP="00F73568">
      <w:pPr>
        <w:spacing w:after="0" w:line="300" w:lineRule="atLeast"/>
        <w:rPr>
          <w:rFonts w:ascii="Times New Roman" w:hAnsi="Times New Roman" w:cs="Times New Roman"/>
          <w:color w:val="000000"/>
          <w:lang w:val="en-US"/>
        </w:rPr>
      </w:pPr>
    </w:p>
    <w:sectPr w:rsidR="00220CFE" w:rsidRPr="00F73568" w:rsidSect="00E9446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FE"/>
    <w:rsid w:val="00133DDE"/>
    <w:rsid w:val="001E799A"/>
    <w:rsid w:val="00202500"/>
    <w:rsid w:val="00220CFE"/>
    <w:rsid w:val="00270E53"/>
    <w:rsid w:val="00292F76"/>
    <w:rsid w:val="002B1C88"/>
    <w:rsid w:val="002B51F3"/>
    <w:rsid w:val="00316AD6"/>
    <w:rsid w:val="00325117"/>
    <w:rsid w:val="00475499"/>
    <w:rsid w:val="004B2506"/>
    <w:rsid w:val="004B6C05"/>
    <w:rsid w:val="00551CAE"/>
    <w:rsid w:val="00573D37"/>
    <w:rsid w:val="00587B65"/>
    <w:rsid w:val="005B3899"/>
    <w:rsid w:val="00761036"/>
    <w:rsid w:val="0081062A"/>
    <w:rsid w:val="0092475D"/>
    <w:rsid w:val="0094103F"/>
    <w:rsid w:val="00AC3CEE"/>
    <w:rsid w:val="00B16892"/>
    <w:rsid w:val="00B42DDC"/>
    <w:rsid w:val="00B57B98"/>
    <w:rsid w:val="00BA074C"/>
    <w:rsid w:val="00C12F51"/>
    <w:rsid w:val="00C22217"/>
    <w:rsid w:val="00C5200C"/>
    <w:rsid w:val="00C724EA"/>
    <w:rsid w:val="00CD2F7A"/>
    <w:rsid w:val="00CE2129"/>
    <w:rsid w:val="00E75564"/>
    <w:rsid w:val="00E94469"/>
    <w:rsid w:val="00F73568"/>
    <w:rsid w:val="00FA398B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D9F"/>
  <w15:chartTrackingRefBased/>
  <w15:docId w15:val="{DE0D2D56-0F0C-42A6-A24E-0E4562D5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1E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Muros, Erwan {TBWC~BASEL}</dc:creator>
  <cp:keywords/>
  <dc:description/>
  <cp:lastModifiedBy>Sy, Reese</cp:lastModifiedBy>
  <cp:revision>3</cp:revision>
  <dcterms:created xsi:type="dcterms:W3CDTF">2024-02-13T17:18:00Z</dcterms:created>
  <dcterms:modified xsi:type="dcterms:W3CDTF">2024-02-13T19:17:00Z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2024-02-13T19:17:54Z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d0c8ee1f-6c4d-4f28-8426-9ca029fb2292</vt:lpwstr>
  </property>
  <property fmtid="{D5CDD505-2E9C-101B-9397-08002B2CF9AE}" pid="8" name="MSIP_Label_4791b42f-c435-42ca-9531-75a3f42aae3d_ContentBits">
    <vt:lpwstr>0</vt:lpwstr>
  </property>
</Properties>
</file>