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DBB1" w14:textId="77777777" w:rsidR="00343188" w:rsidRDefault="00343188" w:rsidP="00222BE3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4E2AD376" wp14:editId="6F6DDDFA">
            <wp:extent cx="1831027" cy="598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5328" cy="61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7AD0" w14:textId="17B833AC" w:rsidR="00AE3533" w:rsidRDefault="00AE3533" w:rsidP="001B0D21">
      <w:pPr>
        <w:spacing w:after="0" w:line="240" w:lineRule="auto"/>
        <w:rPr>
          <w:b/>
          <w:bCs/>
        </w:rPr>
      </w:pPr>
      <w:r w:rsidRPr="005D1167">
        <w:rPr>
          <w:b/>
          <w:bCs/>
        </w:rPr>
        <w:t xml:space="preserve">ISPE </w:t>
      </w:r>
      <w:r w:rsidR="007360DE">
        <w:rPr>
          <w:b/>
          <w:bCs/>
        </w:rPr>
        <w:t>Real</w:t>
      </w:r>
      <w:r w:rsidR="00E041C6">
        <w:rPr>
          <w:b/>
          <w:bCs/>
        </w:rPr>
        <w:t xml:space="preserve"> W</w:t>
      </w:r>
      <w:r w:rsidR="007360DE">
        <w:rPr>
          <w:b/>
          <w:bCs/>
        </w:rPr>
        <w:t>orld Evidence Collabor</w:t>
      </w:r>
      <w:r w:rsidR="003C70AF">
        <w:rPr>
          <w:b/>
          <w:bCs/>
        </w:rPr>
        <w:t>a</w:t>
      </w:r>
      <w:r w:rsidR="007360DE">
        <w:rPr>
          <w:b/>
          <w:bCs/>
        </w:rPr>
        <w:t>tive</w:t>
      </w:r>
      <w:r w:rsidR="009C4900">
        <w:rPr>
          <w:b/>
          <w:bCs/>
        </w:rPr>
        <w:t xml:space="preserve"> SIG</w:t>
      </w:r>
      <w:r w:rsidRPr="005D1167">
        <w:rPr>
          <w:b/>
          <w:bCs/>
        </w:rPr>
        <w:t xml:space="preserve">: </w:t>
      </w:r>
      <w:r w:rsidR="009C4900" w:rsidRPr="009C4900">
        <w:rPr>
          <w:b/>
          <w:bCs/>
        </w:rPr>
        <w:t>Publications &amp; Education Working Group</w:t>
      </w:r>
      <w:r w:rsidR="00B8058C">
        <w:rPr>
          <w:b/>
          <w:bCs/>
        </w:rPr>
        <w:t xml:space="preserve"> </w:t>
      </w:r>
      <w:r>
        <w:rPr>
          <w:b/>
          <w:bCs/>
        </w:rPr>
        <w:t xml:space="preserve">Guidance on </w:t>
      </w:r>
      <w:r w:rsidR="001B7354">
        <w:rPr>
          <w:b/>
          <w:bCs/>
        </w:rPr>
        <w:t xml:space="preserve">Coordination, </w:t>
      </w:r>
      <w:r>
        <w:rPr>
          <w:b/>
          <w:bCs/>
        </w:rPr>
        <w:t>Outreach</w:t>
      </w:r>
      <w:r w:rsidR="001B7354">
        <w:rPr>
          <w:b/>
          <w:bCs/>
        </w:rPr>
        <w:t>,</w:t>
      </w:r>
      <w:r>
        <w:rPr>
          <w:b/>
          <w:bCs/>
        </w:rPr>
        <w:t xml:space="preserve"> and Co-author Identification</w:t>
      </w:r>
    </w:p>
    <w:p w14:paraId="7B194433" w14:textId="135A4A32" w:rsidR="00961C05" w:rsidRDefault="00961C05" w:rsidP="001B0D21">
      <w:pPr>
        <w:spacing w:after="0" w:line="240" w:lineRule="auto"/>
        <w:rPr>
          <w:b/>
          <w:bCs/>
        </w:rPr>
      </w:pPr>
    </w:p>
    <w:p w14:paraId="09DD28C6" w14:textId="2D5C909A" w:rsidR="00961C05" w:rsidRDefault="00961C05" w:rsidP="001B0D21">
      <w:pPr>
        <w:spacing w:after="0" w:line="240" w:lineRule="auto"/>
        <w:rPr>
          <w:b/>
          <w:bCs/>
        </w:rPr>
      </w:pPr>
      <w:r>
        <w:rPr>
          <w:b/>
          <w:bCs/>
        </w:rPr>
        <w:t>Version</w:t>
      </w:r>
      <w:r w:rsidR="00624144">
        <w:rPr>
          <w:b/>
          <w:bCs/>
        </w:rPr>
        <w:t xml:space="preserve"> 2</w:t>
      </w:r>
      <w:r>
        <w:rPr>
          <w:b/>
          <w:bCs/>
        </w:rPr>
        <w:t xml:space="preserve">, </w:t>
      </w:r>
      <w:r w:rsidR="00E041C6">
        <w:rPr>
          <w:b/>
          <w:bCs/>
        </w:rPr>
        <w:t xml:space="preserve">August </w:t>
      </w:r>
      <w:r w:rsidR="00327407">
        <w:rPr>
          <w:b/>
          <w:bCs/>
        </w:rPr>
        <w:t>8, 2023</w:t>
      </w:r>
    </w:p>
    <w:p w14:paraId="777796AB" w14:textId="0F6324E6" w:rsidR="00AE3533" w:rsidRDefault="00AE3533" w:rsidP="001B0D21">
      <w:pPr>
        <w:spacing w:after="0" w:line="240" w:lineRule="auto"/>
      </w:pPr>
    </w:p>
    <w:p w14:paraId="6D4579FD" w14:textId="5B4BB90E" w:rsidR="00796DE5" w:rsidRDefault="00222BE3" w:rsidP="001B0D21">
      <w:pPr>
        <w:spacing w:after="0" w:line="240" w:lineRule="auto"/>
      </w:pPr>
      <w:r>
        <w:t>The k</w:t>
      </w:r>
      <w:r w:rsidR="006C6023">
        <w:t xml:space="preserve">ey </w:t>
      </w:r>
      <w:r w:rsidR="00521563">
        <w:t>objective</w:t>
      </w:r>
      <w:r w:rsidR="00934996">
        <w:t>s</w:t>
      </w:r>
      <w:r w:rsidR="00521563" w:rsidRPr="00521563">
        <w:t xml:space="preserve"> of the ISPE RWE</w:t>
      </w:r>
      <w:r w:rsidR="005B1F5F">
        <w:t xml:space="preserve"> Collaborative</w:t>
      </w:r>
      <w:r w:rsidR="00521563" w:rsidRPr="00521563">
        <w:t xml:space="preserve"> </w:t>
      </w:r>
      <w:r w:rsidR="009C4900">
        <w:t>SIG</w:t>
      </w:r>
      <w:r w:rsidR="003206B8">
        <w:t xml:space="preserve"> </w:t>
      </w:r>
      <w:r w:rsidR="003206B8" w:rsidRPr="009C4900">
        <w:rPr>
          <w:b/>
          <w:bCs/>
        </w:rPr>
        <w:t>Publications &amp; Education Working Group</w:t>
      </w:r>
      <w:r w:rsidR="00934996">
        <w:t xml:space="preserve"> </w:t>
      </w:r>
      <w:r w:rsidR="00B8058C">
        <w:t>are</w:t>
      </w:r>
      <w:r w:rsidR="009C4900">
        <w:t xml:space="preserve"> </w:t>
      </w:r>
      <w:r w:rsidR="00521563" w:rsidRPr="00521563">
        <w:t>to help advance the field</w:t>
      </w:r>
      <w:r w:rsidR="00877589">
        <w:t xml:space="preserve"> of RWE research</w:t>
      </w:r>
      <w:r w:rsidR="00E041C6">
        <w:t xml:space="preserve"> and methods</w:t>
      </w:r>
      <w:r w:rsidR="00934996">
        <w:t xml:space="preserve"> through </w:t>
      </w:r>
      <w:r w:rsidR="00E041C6">
        <w:t>collaborative</w:t>
      </w:r>
      <w:r w:rsidR="00934996">
        <w:t xml:space="preserve"> efforts </w:t>
      </w:r>
      <w:r w:rsidR="00521563" w:rsidRPr="00521563">
        <w:t xml:space="preserve">and </w:t>
      </w:r>
      <w:r w:rsidR="0009317F">
        <w:t xml:space="preserve">to </w:t>
      </w:r>
      <w:r w:rsidR="001A4001">
        <w:t>increase</w:t>
      </w:r>
      <w:r w:rsidR="001A4001" w:rsidRPr="00521563">
        <w:t xml:space="preserve"> </w:t>
      </w:r>
      <w:r w:rsidR="00521563" w:rsidRPr="00521563">
        <w:t xml:space="preserve">awareness of the </w:t>
      </w:r>
      <w:r w:rsidR="00F63F06">
        <w:t xml:space="preserve">strengths </w:t>
      </w:r>
      <w:r w:rsidR="00521563" w:rsidRPr="00521563">
        <w:t>and limitations of such research</w:t>
      </w:r>
      <w:r w:rsidR="00877589">
        <w:t xml:space="preserve"> by</w:t>
      </w:r>
      <w:r w:rsidR="00877589" w:rsidRPr="00877589">
        <w:t xml:space="preserve"> encourag</w:t>
      </w:r>
      <w:r w:rsidR="00877589">
        <w:t>ing</w:t>
      </w:r>
      <w:r w:rsidR="00877589" w:rsidRPr="00877589">
        <w:t xml:space="preserve"> and coordinat</w:t>
      </w:r>
      <w:r w:rsidR="00877589">
        <w:t>ing</w:t>
      </w:r>
      <w:r w:rsidR="00877589" w:rsidRPr="00877589">
        <w:t xml:space="preserve"> publications</w:t>
      </w:r>
      <w:r w:rsidR="001A4001">
        <w:t xml:space="preserve"> and </w:t>
      </w:r>
      <w:r w:rsidR="00E041C6">
        <w:t>educational activities</w:t>
      </w:r>
      <w:r w:rsidR="00877589" w:rsidRPr="00877589">
        <w:t xml:space="preserve"> related to RWD</w:t>
      </w:r>
      <w:r w:rsidR="001A4001">
        <w:t xml:space="preserve"> and </w:t>
      </w:r>
      <w:r w:rsidR="00877589" w:rsidRPr="00877589">
        <w:t>RWE</w:t>
      </w:r>
      <w:r>
        <w:t>.</w:t>
      </w:r>
      <w:r w:rsidR="00521563" w:rsidRPr="00521563">
        <w:t xml:space="preserve"> </w:t>
      </w:r>
      <w:r w:rsidR="004D0521">
        <w:t xml:space="preserve">As there </w:t>
      </w:r>
      <w:r w:rsidR="00521563" w:rsidRPr="00521563">
        <w:t xml:space="preserve">may be overlap in manuscript topics proposed by </w:t>
      </w:r>
      <w:r w:rsidR="009C4900">
        <w:t>other ISPE groups</w:t>
      </w:r>
      <w:r w:rsidR="004D0521">
        <w:t xml:space="preserve"> </w:t>
      </w:r>
      <w:r w:rsidR="00521563" w:rsidRPr="00B8058C">
        <w:rPr>
          <w:b/>
          <w:bCs/>
        </w:rPr>
        <w:t>the following guidance</w:t>
      </w:r>
      <w:r w:rsidR="004D0521" w:rsidRPr="00B8058C">
        <w:rPr>
          <w:b/>
          <w:bCs/>
        </w:rPr>
        <w:t xml:space="preserve"> is proposed</w:t>
      </w:r>
      <w:r w:rsidR="00796DE5" w:rsidRPr="00B8058C">
        <w:rPr>
          <w:b/>
          <w:bCs/>
        </w:rPr>
        <w:t xml:space="preserve"> to</w:t>
      </w:r>
      <w:r w:rsidR="00EF28B1">
        <w:t>:</w:t>
      </w:r>
    </w:p>
    <w:p w14:paraId="05A41DE6" w14:textId="77777777" w:rsidR="00222BE3" w:rsidRDefault="00222BE3" w:rsidP="001B0D21">
      <w:pPr>
        <w:spacing w:after="0" w:line="240" w:lineRule="auto"/>
      </w:pPr>
    </w:p>
    <w:p w14:paraId="17CF6652" w14:textId="443BF96C" w:rsidR="00C3113C" w:rsidRDefault="00C30675" w:rsidP="001B0D21">
      <w:pPr>
        <w:pStyle w:val="ListParagraph"/>
        <w:numPr>
          <w:ilvl w:val="0"/>
          <w:numId w:val="2"/>
        </w:numPr>
        <w:spacing w:after="0" w:line="240" w:lineRule="auto"/>
      </w:pPr>
      <w:r>
        <w:t>F</w:t>
      </w:r>
      <w:r w:rsidR="0097019C">
        <w:t>acilitate collaboration</w:t>
      </w:r>
      <w:r>
        <w:t xml:space="preserve"> on manuscripts</w:t>
      </w:r>
      <w:r w:rsidR="0097019C">
        <w:t xml:space="preserve"> and to</w:t>
      </w:r>
      <w:r>
        <w:t xml:space="preserve"> </w:t>
      </w:r>
      <w:r w:rsidR="009C4900">
        <w:t>e</w:t>
      </w:r>
      <w:r w:rsidR="00DB2655">
        <w:t>n</w:t>
      </w:r>
      <w:r w:rsidR="00C3113C">
        <w:t>able</w:t>
      </w:r>
      <w:r w:rsidR="00DB2655">
        <w:t xml:space="preserve"> </w:t>
      </w:r>
      <w:r w:rsidR="00AE3533">
        <w:t xml:space="preserve">broad representation from various </w:t>
      </w:r>
      <w:r w:rsidR="00FC3FE4">
        <w:t xml:space="preserve">ISPE </w:t>
      </w:r>
      <w:r w:rsidR="00AE3533">
        <w:t>sectors and geographic regions</w:t>
      </w:r>
      <w:r w:rsidR="001A4001">
        <w:t xml:space="preserve"> to promote diversity</w:t>
      </w:r>
      <w:r w:rsidR="00C3113C">
        <w:t xml:space="preserve"> when identifying co-authors</w:t>
      </w:r>
      <w:r w:rsidR="00E4706D">
        <w:t>.</w:t>
      </w:r>
    </w:p>
    <w:p w14:paraId="50B9F329" w14:textId="77777777" w:rsidR="00E3600D" w:rsidRDefault="00E3600D" w:rsidP="001B0D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Communicate and coordinate with other ISPE groups to avoid duplicative </w:t>
      </w:r>
      <w:proofErr w:type="gramStart"/>
      <w:r>
        <w:t>efforts</w:t>
      </w:r>
      <w:proofErr w:type="gramEnd"/>
      <w:r>
        <w:t xml:space="preserve"> </w:t>
      </w:r>
    </w:p>
    <w:p w14:paraId="78BEF495" w14:textId="77777777" w:rsidR="00E3600D" w:rsidRDefault="00E3600D" w:rsidP="001B0D21">
      <w:pPr>
        <w:pStyle w:val="ListParagraph"/>
        <w:spacing w:after="0" w:line="240" w:lineRule="auto"/>
        <w:ind w:left="768"/>
      </w:pPr>
    </w:p>
    <w:p w14:paraId="07B40DDF" w14:textId="77777777" w:rsidR="00BA4597" w:rsidRDefault="00BA4597" w:rsidP="001B0D21">
      <w:pPr>
        <w:pStyle w:val="ListParagraph"/>
        <w:spacing w:after="0" w:line="240" w:lineRule="auto"/>
        <w:ind w:left="360"/>
      </w:pPr>
    </w:p>
    <w:p w14:paraId="1BF5816E" w14:textId="7660120D" w:rsidR="00376A70" w:rsidRPr="00E006F2" w:rsidRDefault="00D969A9" w:rsidP="001B0D2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E006F2">
        <w:rPr>
          <w:b/>
          <w:bCs/>
        </w:rPr>
        <w:t>C</w:t>
      </w:r>
      <w:r w:rsidR="00E463E7" w:rsidRPr="00E006F2">
        <w:rPr>
          <w:b/>
          <w:bCs/>
        </w:rPr>
        <w:t>ommunication within the</w:t>
      </w:r>
      <w:r w:rsidR="00376A70" w:rsidRPr="00E006F2">
        <w:rPr>
          <w:b/>
          <w:bCs/>
        </w:rPr>
        <w:t xml:space="preserve"> </w:t>
      </w:r>
      <w:r w:rsidR="00CD2F15" w:rsidRPr="00E006F2">
        <w:rPr>
          <w:b/>
          <w:bCs/>
        </w:rPr>
        <w:t>ISPE RWE SIG</w:t>
      </w:r>
    </w:p>
    <w:p w14:paraId="3F6E1D63" w14:textId="6AEA28A9" w:rsidR="00E463E7" w:rsidRDefault="00E463E7" w:rsidP="001B0D21">
      <w:pPr>
        <w:pStyle w:val="ListParagraph"/>
        <w:spacing w:after="0" w:line="240" w:lineRule="auto"/>
        <w:ind w:left="360"/>
      </w:pPr>
    </w:p>
    <w:p w14:paraId="1CE0B2D5" w14:textId="657C02E7" w:rsidR="00327407" w:rsidRDefault="00E4706D" w:rsidP="001B0D21">
      <w:pPr>
        <w:spacing w:after="0" w:line="240" w:lineRule="auto"/>
      </w:pPr>
      <w:bookmarkStart w:id="0" w:name="_Hlk142418813"/>
      <w:r>
        <w:t xml:space="preserve">The </w:t>
      </w:r>
      <w:r w:rsidR="00376A70" w:rsidRPr="00F86E9B">
        <w:t>Publications &amp; Education Working Group</w:t>
      </w:r>
      <w:r w:rsidR="00AE3533" w:rsidRPr="00F86E9B">
        <w:t xml:space="preserve"> co-leads</w:t>
      </w:r>
      <w:r w:rsidR="00BA4597" w:rsidRPr="00F86E9B">
        <w:t xml:space="preserve"> </w:t>
      </w:r>
      <w:r w:rsidRPr="00F86E9B">
        <w:t xml:space="preserve">will first </w:t>
      </w:r>
      <w:r w:rsidR="00AE3533" w:rsidRPr="00F86E9B">
        <w:t xml:space="preserve">share manuscript ideas with </w:t>
      </w:r>
      <w:r w:rsidR="00CD2F15" w:rsidRPr="00F86E9B">
        <w:t xml:space="preserve">RWE </w:t>
      </w:r>
      <w:r w:rsidR="001A4001">
        <w:t>Collaborative Leadership</w:t>
      </w:r>
      <w:r w:rsidR="00327407">
        <w:t xml:space="preserve"> or ISPE members using the standard </w:t>
      </w:r>
      <w:r w:rsidR="008B51A9">
        <w:t xml:space="preserve">manuscript proposal </w:t>
      </w:r>
      <w:r w:rsidR="00327407">
        <w:t>template</w:t>
      </w:r>
      <w:r w:rsidR="008B51A9">
        <w:t xml:space="preserve"> (</w:t>
      </w:r>
      <w:r w:rsidR="008B51A9" w:rsidRPr="00B8058C">
        <w:rPr>
          <w:b/>
          <w:bCs/>
        </w:rPr>
        <w:t>non-funded manuscript pathway via RWE SIG</w:t>
      </w:r>
      <w:r w:rsidR="008B51A9">
        <w:t>)</w:t>
      </w:r>
      <w:r w:rsidR="001A4001">
        <w:t xml:space="preserve"> for </w:t>
      </w:r>
      <w:bookmarkEnd w:id="0"/>
      <w:r w:rsidR="00327407">
        <w:t xml:space="preserve">review and comment. </w:t>
      </w:r>
      <w:r w:rsidR="00E041C6">
        <w:t>As needed, the topics can also be presented via virtual presentation to</w:t>
      </w:r>
      <w:r w:rsidR="0009317F">
        <w:t xml:space="preserve"> the</w:t>
      </w:r>
      <w:r w:rsidR="004E5198">
        <w:t xml:space="preserve"> RWE</w:t>
      </w:r>
      <w:r w:rsidR="001A4001">
        <w:t xml:space="preserve"> Collaborative</w:t>
      </w:r>
      <w:r w:rsidR="00E041C6">
        <w:t xml:space="preserve"> SIG leadership</w:t>
      </w:r>
      <w:r w:rsidR="0009317F">
        <w:t xml:space="preserve"> team</w:t>
      </w:r>
      <w:r w:rsidR="00E041C6">
        <w:t xml:space="preserve"> and/or</w:t>
      </w:r>
      <w:r w:rsidR="0009317F">
        <w:t xml:space="preserve"> </w:t>
      </w:r>
      <w:proofErr w:type="gramStart"/>
      <w:r w:rsidR="0009317F">
        <w:t xml:space="preserve">at  </w:t>
      </w:r>
      <w:r w:rsidR="001A4001">
        <w:t>SIG</w:t>
      </w:r>
      <w:proofErr w:type="gramEnd"/>
      <w:r w:rsidR="001A4001">
        <w:t xml:space="preserve"> </w:t>
      </w:r>
      <w:r w:rsidR="00E041C6">
        <w:t xml:space="preserve">meetings. </w:t>
      </w:r>
      <w:r w:rsidR="00327407">
        <w:t>Publication and Education WG co-leads will communicate suggested changes to the proposal authors</w:t>
      </w:r>
      <w:r w:rsidR="008B51A9">
        <w:t xml:space="preserve"> </w:t>
      </w:r>
      <w:r w:rsidR="008262A2">
        <w:t>and</w:t>
      </w:r>
      <w:r w:rsidR="008B51A9">
        <w:t xml:space="preserve"> once revised, will</w:t>
      </w:r>
      <w:r w:rsidR="0009317F">
        <w:t xml:space="preserve"> send revised proposals to </w:t>
      </w:r>
      <w:r w:rsidR="004E5198">
        <w:t xml:space="preserve">RWE </w:t>
      </w:r>
      <w:r w:rsidR="0009317F">
        <w:t>SIG leadership</w:t>
      </w:r>
      <w:r w:rsidR="008B51A9">
        <w:t>.</w:t>
      </w:r>
    </w:p>
    <w:p w14:paraId="7C21F7E2" w14:textId="77777777" w:rsidR="00327407" w:rsidRDefault="00327407" w:rsidP="001B0D21">
      <w:pPr>
        <w:spacing w:after="0" w:line="240" w:lineRule="auto"/>
      </w:pPr>
    </w:p>
    <w:p w14:paraId="37C26DB4" w14:textId="03BB9CA4" w:rsidR="00F3239B" w:rsidRDefault="00327407" w:rsidP="001B0D21">
      <w:pPr>
        <w:spacing w:after="0" w:line="240" w:lineRule="auto"/>
      </w:pPr>
      <w:r>
        <w:t>If authors of the proposed manuscript</w:t>
      </w:r>
      <w:r w:rsidR="00E21097">
        <w:t>(</w:t>
      </w:r>
      <w:r>
        <w:t>s</w:t>
      </w:r>
      <w:r w:rsidR="00E21097">
        <w:t>)</w:t>
      </w:r>
      <w:r w:rsidR="004E5198">
        <w:t xml:space="preserve"> are seeking</w:t>
      </w:r>
      <w:r>
        <w:t xml:space="preserve"> additional co-authors, depending on the topic, collaborative pathways within ISPE will be discussed</w:t>
      </w:r>
      <w:r w:rsidR="004E5198">
        <w:t xml:space="preserve"> within the RWE SIG leadership team</w:t>
      </w:r>
      <w:r>
        <w:t xml:space="preserve"> (e.g., vaccine SIG if it’s a vaccine-related topic). In addition,</w:t>
      </w:r>
      <w:r w:rsidR="004E5198">
        <w:t xml:space="preserve"> </w:t>
      </w:r>
      <w:r w:rsidR="0009317F">
        <w:t xml:space="preserve">RWE </w:t>
      </w:r>
      <w:r>
        <w:t>SIG member</w:t>
      </w:r>
      <w:r w:rsidR="0009317F">
        <w:t>s</w:t>
      </w:r>
      <w:r>
        <w:t xml:space="preserve"> will be informed of manuscript proposal </w:t>
      </w:r>
      <w:r w:rsidR="008B51A9">
        <w:t xml:space="preserve">ideas </w:t>
      </w:r>
      <w:r w:rsidR="008B51A9" w:rsidRPr="00F86E9B">
        <w:t>and</w:t>
      </w:r>
      <w:r>
        <w:t xml:space="preserve"> asked </w:t>
      </w:r>
      <w:r w:rsidR="007A42E6">
        <w:t>about interest in co-authoring</w:t>
      </w:r>
      <w:r w:rsidR="008B51A9">
        <w:t xml:space="preserve">. </w:t>
      </w:r>
      <w:r w:rsidR="00493845">
        <w:t xml:space="preserve"> Any </w:t>
      </w:r>
      <w:r>
        <w:t>a</w:t>
      </w:r>
      <w:r w:rsidR="006C197B">
        <w:t xml:space="preserve">dministrative support </w:t>
      </w:r>
      <w:r w:rsidR="008B51A9">
        <w:t>from</w:t>
      </w:r>
      <w:r w:rsidR="004E5198">
        <w:t xml:space="preserve"> the</w:t>
      </w:r>
      <w:r w:rsidR="008B51A9">
        <w:t xml:space="preserve"> Internal Collaborations</w:t>
      </w:r>
      <w:r w:rsidR="004E5198">
        <w:t xml:space="preserve"> working group</w:t>
      </w:r>
      <w:r w:rsidR="008B51A9">
        <w:t xml:space="preserve"> </w:t>
      </w:r>
      <w:r w:rsidR="006C197B">
        <w:t>will be sought</w:t>
      </w:r>
      <w:r w:rsidR="00851799">
        <w:t>,</w:t>
      </w:r>
      <w:r w:rsidR="00493845" w:rsidRPr="00493845">
        <w:t xml:space="preserve"> </w:t>
      </w:r>
      <w:r w:rsidR="00493845">
        <w:t>as needed</w:t>
      </w:r>
      <w:r w:rsidR="006C197B">
        <w:t xml:space="preserve">. </w:t>
      </w:r>
    </w:p>
    <w:p w14:paraId="7F3F3ADF" w14:textId="77777777" w:rsidR="00F3239B" w:rsidRDefault="00F3239B" w:rsidP="001B0D21">
      <w:pPr>
        <w:pStyle w:val="ListParagraph"/>
        <w:spacing w:after="0" w:line="240" w:lineRule="auto"/>
        <w:ind w:left="1080"/>
      </w:pPr>
    </w:p>
    <w:p w14:paraId="7EBCD300" w14:textId="2911EA0F" w:rsidR="00E463E7" w:rsidRPr="00E006F2" w:rsidRDefault="00D969A9" w:rsidP="001B0D2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E006F2">
        <w:rPr>
          <w:b/>
          <w:bCs/>
        </w:rPr>
        <w:t>C</w:t>
      </w:r>
      <w:r w:rsidR="00E463E7" w:rsidRPr="00E006F2">
        <w:rPr>
          <w:b/>
          <w:bCs/>
        </w:rPr>
        <w:t>ommunication</w:t>
      </w:r>
      <w:r w:rsidR="00E234F6" w:rsidRPr="00E006F2">
        <w:rPr>
          <w:b/>
          <w:bCs/>
        </w:rPr>
        <w:t>/outreach</w:t>
      </w:r>
      <w:r w:rsidR="00E463E7" w:rsidRPr="00E006F2">
        <w:rPr>
          <w:b/>
          <w:bCs/>
        </w:rPr>
        <w:t xml:space="preserve"> with other</w:t>
      </w:r>
      <w:r w:rsidR="007B6541" w:rsidRPr="00E006F2">
        <w:rPr>
          <w:b/>
          <w:bCs/>
        </w:rPr>
        <w:t xml:space="preserve"> </w:t>
      </w:r>
      <w:r w:rsidR="00376A70" w:rsidRPr="00E006F2">
        <w:rPr>
          <w:b/>
          <w:bCs/>
        </w:rPr>
        <w:t>SIGs or ISPE groups</w:t>
      </w:r>
    </w:p>
    <w:p w14:paraId="1181210F" w14:textId="77777777" w:rsidR="00101DAD" w:rsidRDefault="00101DAD" w:rsidP="001B0D21">
      <w:pPr>
        <w:spacing w:after="0" w:line="240" w:lineRule="auto"/>
      </w:pPr>
    </w:p>
    <w:p w14:paraId="7F09A697" w14:textId="22F73A24" w:rsidR="00CD2F15" w:rsidRDefault="00762780" w:rsidP="001B0D21">
      <w:pPr>
        <w:spacing w:after="0" w:line="240" w:lineRule="auto"/>
      </w:pPr>
      <w:r>
        <w:t xml:space="preserve">After circulating to the </w:t>
      </w:r>
      <w:r w:rsidR="008F5FB5">
        <w:t xml:space="preserve">RWE </w:t>
      </w:r>
      <w:r>
        <w:t>SIG, t</w:t>
      </w:r>
      <w:r w:rsidR="00F3239B">
        <w:t xml:space="preserve">he </w:t>
      </w:r>
      <w:r w:rsidR="003C4E0C">
        <w:t>I</w:t>
      </w:r>
      <w:r w:rsidR="006679AE" w:rsidRPr="00F86E9B">
        <w:t xml:space="preserve">nternal </w:t>
      </w:r>
      <w:r w:rsidR="003C4E0C">
        <w:t>C</w:t>
      </w:r>
      <w:r w:rsidR="006679AE" w:rsidRPr="00F86E9B">
        <w:t>ollaboration</w:t>
      </w:r>
      <w:r w:rsidR="003C4E0C">
        <w:t>s</w:t>
      </w:r>
      <w:r w:rsidR="00493845">
        <w:t xml:space="preserve"> (including </w:t>
      </w:r>
      <w:r w:rsidR="00493845" w:rsidRPr="00F86E9B">
        <w:t xml:space="preserve">Publications &amp; Education Working </w:t>
      </w:r>
      <w:proofErr w:type="gramStart"/>
      <w:r w:rsidR="00493845" w:rsidRPr="00F86E9B">
        <w:t>Group</w:t>
      </w:r>
      <w:r w:rsidR="00493845">
        <w:t>)</w:t>
      </w:r>
      <w:r w:rsidR="006679AE" w:rsidRPr="00F86E9B">
        <w:t>work</w:t>
      </w:r>
      <w:proofErr w:type="gramEnd"/>
      <w:r w:rsidR="006679AE" w:rsidRPr="00F86E9B">
        <w:t xml:space="preserve"> group</w:t>
      </w:r>
      <w:r w:rsidR="00E463E7" w:rsidRPr="00F86E9B">
        <w:t xml:space="preserve"> co</w:t>
      </w:r>
      <w:r w:rsidR="00E463E7" w:rsidRPr="00AE3533">
        <w:t xml:space="preserve">-leads </w:t>
      </w:r>
      <w:r w:rsidR="00BD488B">
        <w:t xml:space="preserve">will </w:t>
      </w:r>
      <w:r w:rsidR="00E463E7" w:rsidRPr="00AE3533">
        <w:t>share manuscript ideas with</w:t>
      </w:r>
      <w:r w:rsidR="00CD2F15">
        <w:t>:</w:t>
      </w:r>
    </w:p>
    <w:p w14:paraId="33978272" w14:textId="77777777" w:rsidR="00222BE3" w:rsidRDefault="00222BE3" w:rsidP="001B0D21">
      <w:pPr>
        <w:spacing w:after="0" w:line="240" w:lineRule="auto"/>
      </w:pPr>
    </w:p>
    <w:p w14:paraId="2DEBD9E1" w14:textId="408AD6AB" w:rsidR="00E463E7" w:rsidRDefault="008B51A9" w:rsidP="001B0D21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 xml:space="preserve">(Depending on the topic) </w:t>
      </w:r>
      <w:r w:rsidR="00CD2F15">
        <w:t>Leadership of other SIGs</w:t>
      </w:r>
      <w:r w:rsidR="0023275C">
        <w:t xml:space="preserve"> </w:t>
      </w:r>
      <w:r w:rsidR="00E463E7">
        <w:t xml:space="preserve">for comments and interest </w:t>
      </w:r>
      <w:r w:rsidR="00DA52EF">
        <w:t>in</w:t>
      </w:r>
      <w:r w:rsidR="00E463E7">
        <w:t xml:space="preserve"> collaboration</w:t>
      </w:r>
      <w:r w:rsidR="00097C62">
        <w:t xml:space="preserve"> through a “live tracker” document</w:t>
      </w:r>
      <w:r w:rsidR="003F3817">
        <w:t>.</w:t>
      </w:r>
      <w:r w:rsidR="00097C62">
        <w:t xml:space="preserve"> Administrative support </w:t>
      </w:r>
      <w:r>
        <w:t>may</w:t>
      </w:r>
      <w:r w:rsidR="00097C62">
        <w:t xml:space="preserve"> be sought from ISPE.</w:t>
      </w:r>
      <w:r w:rsidR="003F3817">
        <w:t xml:space="preserve"> </w:t>
      </w:r>
      <w:r w:rsidR="00E463E7">
        <w:t xml:space="preserve"> </w:t>
      </w:r>
    </w:p>
    <w:p w14:paraId="7FB48913" w14:textId="74902E68" w:rsidR="00D27627" w:rsidRDefault="008B51A9" w:rsidP="001B0D21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 xml:space="preserve">(Depending on the topic) </w:t>
      </w:r>
      <w:r w:rsidR="00D27627">
        <w:t>Other groups such as RIG, committees</w:t>
      </w:r>
      <w:r w:rsidR="00533887">
        <w:t xml:space="preserve">, </w:t>
      </w:r>
      <w:r w:rsidR="00851799">
        <w:t>councils,</w:t>
      </w:r>
      <w:r w:rsidR="00533887">
        <w:t xml:space="preserve"> and task </w:t>
      </w:r>
      <w:proofErr w:type="gramStart"/>
      <w:r w:rsidR="00533887">
        <w:t>forces</w:t>
      </w:r>
      <w:proofErr w:type="gramEnd"/>
      <w:r w:rsidR="00327407">
        <w:t xml:space="preserve"> </w:t>
      </w:r>
    </w:p>
    <w:p w14:paraId="01E3A047" w14:textId="77777777" w:rsidR="00EC0440" w:rsidRPr="00222BE3" w:rsidRDefault="00EC0440" w:rsidP="001B0D21">
      <w:pPr>
        <w:spacing w:after="0" w:line="240" w:lineRule="auto"/>
        <w:rPr>
          <w:b/>
          <w:bCs/>
        </w:rPr>
      </w:pPr>
    </w:p>
    <w:p w14:paraId="0C22F74D" w14:textId="50F46114" w:rsidR="00B8058C" w:rsidRPr="00222BE3" w:rsidRDefault="00CD2F15" w:rsidP="001B0D21">
      <w:pPr>
        <w:pStyle w:val="CommentText"/>
        <w:spacing w:after="0"/>
        <w:rPr>
          <w:sz w:val="22"/>
          <w:szCs w:val="22"/>
        </w:rPr>
      </w:pPr>
      <w:r w:rsidRPr="00222BE3">
        <w:rPr>
          <w:sz w:val="22"/>
          <w:szCs w:val="22"/>
        </w:rPr>
        <w:t>The Publications &amp; Education Working Group</w:t>
      </w:r>
      <w:r w:rsidR="00ED0355" w:rsidRPr="00222BE3">
        <w:rPr>
          <w:sz w:val="22"/>
          <w:szCs w:val="22"/>
        </w:rPr>
        <w:t xml:space="preserve"> </w:t>
      </w:r>
      <w:r w:rsidRPr="00222BE3">
        <w:rPr>
          <w:sz w:val="22"/>
          <w:szCs w:val="22"/>
        </w:rPr>
        <w:t>will also</w:t>
      </w:r>
      <w:r w:rsidR="001B7354" w:rsidRPr="00222BE3">
        <w:rPr>
          <w:sz w:val="22"/>
          <w:szCs w:val="22"/>
        </w:rPr>
        <w:t xml:space="preserve"> coordinate with other </w:t>
      </w:r>
      <w:r w:rsidR="00ED0355" w:rsidRPr="00222BE3">
        <w:rPr>
          <w:sz w:val="22"/>
          <w:szCs w:val="22"/>
        </w:rPr>
        <w:t>ISPE groups (SIG/RIG/</w:t>
      </w:r>
      <w:r w:rsidR="009B38B8" w:rsidRPr="00222BE3">
        <w:rPr>
          <w:sz w:val="22"/>
          <w:szCs w:val="22"/>
        </w:rPr>
        <w:t>Initiatives/ Council/Committees)</w:t>
      </w:r>
      <w:r w:rsidR="00061FF2" w:rsidRPr="00222BE3">
        <w:rPr>
          <w:sz w:val="22"/>
          <w:szCs w:val="22"/>
        </w:rPr>
        <w:t xml:space="preserve"> </w:t>
      </w:r>
      <w:r w:rsidR="001B7354" w:rsidRPr="00222BE3">
        <w:rPr>
          <w:sz w:val="22"/>
          <w:szCs w:val="22"/>
        </w:rPr>
        <w:t xml:space="preserve">to </w:t>
      </w:r>
      <w:r w:rsidR="00DB2655" w:rsidRPr="00222BE3">
        <w:rPr>
          <w:sz w:val="22"/>
          <w:szCs w:val="22"/>
        </w:rPr>
        <w:t>identify and track</w:t>
      </w:r>
      <w:r w:rsidR="001B7354" w:rsidRPr="00222BE3">
        <w:rPr>
          <w:sz w:val="22"/>
          <w:szCs w:val="22"/>
        </w:rPr>
        <w:t xml:space="preserve"> </w:t>
      </w:r>
      <w:r w:rsidR="009B38B8" w:rsidRPr="00222BE3">
        <w:rPr>
          <w:b/>
          <w:bCs/>
          <w:sz w:val="22"/>
          <w:szCs w:val="22"/>
        </w:rPr>
        <w:t xml:space="preserve">other initiated </w:t>
      </w:r>
      <w:r w:rsidR="00DB2655" w:rsidRPr="00222BE3">
        <w:rPr>
          <w:b/>
          <w:bCs/>
          <w:sz w:val="22"/>
          <w:szCs w:val="22"/>
        </w:rPr>
        <w:t xml:space="preserve">manuscripts </w:t>
      </w:r>
      <w:r w:rsidR="007F0DFA" w:rsidRPr="00222BE3">
        <w:rPr>
          <w:b/>
          <w:bCs/>
          <w:sz w:val="22"/>
          <w:szCs w:val="22"/>
        </w:rPr>
        <w:t xml:space="preserve">related to RWE </w:t>
      </w:r>
      <w:r w:rsidR="00DB2655" w:rsidRPr="00222BE3">
        <w:rPr>
          <w:sz w:val="22"/>
          <w:szCs w:val="22"/>
        </w:rPr>
        <w:t xml:space="preserve">to avoid </w:t>
      </w:r>
      <w:r w:rsidR="00191D1F" w:rsidRPr="00222BE3">
        <w:rPr>
          <w:sz w:val="22"/>
          <w:szCs w:val="22"/>
        </w:rPr>
        <w:t xml:space="preserve">duplication </w:t>
      </w:r>
      <w:r w:rsidR="00DB2655" w:rsidRPr="00222BE3">
        <w:rPr>
          <w:sz w:val="22"/>
          <w:szCs w:val="22"/>
        </w:rPr>
        <w:t>and identify collaboration.</w:t>
      </w:r>
      <w:r w:rsidR="00097C62" w:rsidRPr="00222BE3">
        <w:rPr>
          <w:sz w:val="22"/>
          <w:szCs w:val="22"/>
        </w:rPr>
        <w:t xml:space="preserve"> Ideally, this should be available in a “live tracker” </w:t>
      </w:r>
      <w:r w:rsidR="00097C62" w:rsidRPr="00222BE3">
        <w:rPr>
          <w:sz w:val="22"/>
          <w:szCs w:val="22"/>
        </w:rPr>
        <w:lastRenderedPageBreak/>
        <w:t>document</w:t>
      </w:r>
      <w:r w:rsidR="003A03A8" w:rsidRPr="00222BE3">
        <w:rPr>
          <w:sz w:val="22"/>
          <w:szCs w:val="22"/>
        </w:rPr>
        <w:t xml:space="preserve"> available to co-leads of each </w:t>
      </w:r>
      <w:r w:rsidRPr="00222BE3">
        <w:rPr>
          <w:sz w:val="22"/>
          <w:szCs w:val="22"/>
        </w:rPr>
        <w:t>SIG workgroup</w:t>
      </w:r>
      <w:r w:rsidR="00B8058C" w:rsidRPr="00222BE3">
        <w:rPr>
          <w:sz w:val="22"/>
          <w:szCs w:val="22"/>
        </w:rPr>
        <w:t>. The Publications &amp; Education Working Group co-leads will be the contacts for</w:t>
      </w:r>
      <w:r w:rsidR="00877589" w:rsidRPr="00222BE3">
        <w:rPr>
          <w:sz w:val="22"/>
          <w:szCs w:val="22"/>
        </w:rPr>
        <w:t xml:space="preserve"> any proposed</w:t>
      </w:r>
      <w:r w:rsidR="00B8058C" w:rsidRPr="00222BE3">
        <w:rPr>
          <w:sz w:val="22"/>
          <w:szCs w:val="22"/>
        </w:rPr>
        <w:t xml:space="preserve"> manuscript along with authors</w:t>
      </w:r>
      <w:r w:rsidR="00877589" w:rsidRPr="00222BE3">
        <w:rPr>
          <w:sz w:val="22"/>
          <w:szCs w:val="22"/>
        </w:rPr>
        <w:t>.</w:t>
      </w:r>
    </w:p>
    <w:p w14:paraId="4D4F24AE" w14:textId="77777777" w:rsidR="001B7354" w:rsidRDefault="001B7354" w:rsidP="001B0D21">
      <w:pPr>
        <w:spacing w:after="0" w:line="240" w:lineRule="auto"/>
      </w:pPr>
    </w:p>
    <w:p w14:paraId="19538D06" w14:textId="20BB1F2D" w:rsidR="00751F6E" w:rsidRDefault="00751F6E" w:rsidP="001B0D2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BD4682">
        <w:rPr>
          <w:b/>
          <w:bCs/>
        </w:rPr>
        <w:t>Determination of authorship</w:t>
      </w:r>
    </w:p>
    <w:p w14:paraId="45A7C4DC" w14:textId="77777777" w:rsidR="001B0D21" w:rsidRDefault="001B0D21" w:rsidP="001B0D21">
      <w:pPr>
        <w:pStyle w:val="ListParagraph"/>
        <w:spacing w:after="0" w:line="240" w:lineRule="auto"/>
        <w:ind w:left="360"/>
        <w:rPr>
          <w:b/>
          <w:bCs/>
        </w:rPr>
      </w:pPr>
    </w:p>
    <w:p w14:paraId="63E7336B" w14:textId="017E313A" w:rsidR="00C971BA" w:rsidRDefault="00C971BA" w:rsidP="001B0D21">
      <w:pPr>
        <w:spacing w:after="0" w:line="240" w:lineRule="auto"/>
      </w:pPr>
      <w:r>
        <w:t>F</w:t>
      </w:r>
      <w:r w:rsidRPr="00F86E9B">
        <w:t>inal decision</w:t>
      </w:r>
      <w:r>
        <w:t>s</w:t>
      </w:r>
      <w:r w:rsidRPr="00F86E9B">
        <w:t xml:space="preserve"> o</w:t>
      </w:r>
      <w:r>
        <w:t xml:space="preserve">n </w:t>
      </w:r>
      <w:r w:rsidRPr="00F86E9B">
        <w:t xml:space="preserve">authorship </w:t>
      </w:r>
      <w:r w:rsidR="00493845">
        <w:t>are evaluated by</w:t>
      </w:r>
      <w:r w:rsidRPr="00F86E9B">
        <w:t xml:space="preserve"> the lead(s) of each manuscript</w:t>
      </w:r>
      <w:r>
        <w:t xml:space="preserve"> workstream. </w:t>
      </w:r>
    </w:p>
    <w:p w14:paraId="52BF0606" w14:textId="77777777" w:rsidR="00C971BA" w:rsidRPr="00C971BA" w:rsidRDefault="00C971BA" w:rsidP="001B0D21">
      <w:pPr>
        <w:spacing w:after="0" w:line="240" w:lineRule="auto"/>
        <w:rPr>
          <w:b/>
          <w:bCs/>
        </w:rPr>
      </w:pPr>
    </w:p>
    <w:p w14:paraId="3496495B" w14:textId="3A93AAF2" w:rsidR="00AE3533" w:rsidRDefault="00945DB6" w:rsidP="001B0D21">
      <w:pPr>
        <w:pStyle w:val="ListParagraph"/>
        <w:numPr>
          <w:ilvl w:val="1"/>
          <w:numId w:val="1"/>
        </w:numPr>
        <w:spacing w:after="0" w:line="240" w:lineRule="auto"/>
        <w:ind w:left="810"/>
      </w:pPr>
      <w:r w:rsidRPr="00C974B1">
        <w:t>For each proposed manuscript,</w:t>
      </w:r>
      <w:r w:rsidR="00C974B1">
        <w:t xml:space="preserve"> </w:t>
      </w:r>
      <w:r w:rsidR="008D3842">
        <w:t>t</w:t>
      </w:r>
      <w:r w:rsidR="002834B5" w:rsidRPr="00C974B1">
        <w:t xml:space="preserve">he Publications &amp; Education Working Group </w:t>
      </w:r>
      <w:r w:rsidR="00AE3533" w:rsidRPr="00C974B1">
        <w:t>co</w:t>
      </w:r>
      <w:r w:rsidR="00AE3533" w:rsidRPr="00AE3533">
        <w:t xml:space="preserve">-leads </w:t>
      </w:r>
      <w:r w:rsidR="002834B5">
        <w:t xml:space="preserve">will circulate </w:t>
      </w:r>
      <w:r w:rsidR="00AE3533">
        <w:t xml:space="preserve">the list of interested </w:t>
      </w:r>
      <w:r w:rsidR="00A86A2E">
        <w:t>contributors</w:t>
      </w:r>
      <w:r w:rsidR="00796DB6">
        <w:t xml:space="preserve"> </w:t>
      </w:r>
      <w:r w:rsidR="00A86A2E">
        <w:t xml:space="preserve">to </w:t>
      </w:r>
      <w:r w:rsidR="00200AA6">
        <w:t>manuscript</w:t>
      </w:r>
      <w:r w:rsidR="00A86A2E">
        <w:t xml:space="preserve"> lead</w:t>
      </w:r>
      <w:r w:rsidR="00EB4344">
        <w:t>(s)</w:t>
      </w:r>
      <w:r w:rsidR="00200AA6">
        <w:t xml:space="preserve"> </w:t>
      </w:r>
      <w:r w:rsidR="00AE3533">
        <w:t>and have them follow-up and make the final de</w:t>
      </w:r>
      <w:r w:rsidR="009704B0">
        <w:t>termination on authorship</w:t>
      </w:r>
      <w:r w:rsidR="00AE3533">
        <w:t>.</w:t>
      </w:r>
    </w:p>
    <w:p w14:paraId="6B150988" w14:textId="59DC8496" w:rsidR="00881D65" w:rsidRDefault="00881D65" w:rsidP="001B0D21">
      <w:pPr>
        <w:pStyle w:val="ListParagraph"/>
        <w:numPr>
          <w:ilvl w:val="1"/>
          <w:numId w:val="1"/>
        </w:numPr>
        <w:spacing w:after="0" w:line="240" w:lineRule="auto"/>
        <w:ind w:left="810"/>
      </w:pPr>
      <w:r w:rsidRPr="00D4532A">
        <w:t xml:space="preserve">If the </w:t>
      </w:r>
      <w:r w:rsidR="00DE0DF6" w:rsidRPr="007360DE">
        <w:t>RWE SIG</w:t>
      </w:r>
      <w:r w:rsidR="00DE0DF6">
        <w:rPr>
          <w:b/>
          <w:bCs/>
        </w:rPr>
        <w:t xml:space="preserve"> </w:t>
      </w:r>
      <w:r w:rsidRPr="00D4532A">
        <w:t xml:space="preserve">and another </w:t>
      </w:r>
      <w:r w:rsidR="00DE0DF6">
        <w:t>SIG or group</w:t>
      </w:r>
      <w:r w:rsidR="00101DAD">
        <w:t xml:space="preserve"> </w:t>
      </w:r>
      <w:r w:rsidR="00036D3D">
        <w:t>independently propose to lead a</w:t>
      </w:r>
      <w:r w:rsidR="005F7FE4">
        <w:t xml:space="preserve"> manuscript on a</w:t>
      </w:r>
      <w:r w:rsidR="00036D3D">
        <w:t xml:space="preserve"> similar topic</w:t>
      </w:r>
      <w:r w:rsidRPr="00D4532A">
        <w:rPr>
          <w:rFonts w:ascii="Calibri" w:eastAsia="Times New Roman" w:hAnsi="Calibri" w:cs="Times New Roman"/>
          <w:color w:val="000000"/>
          <w:lang w:eastAsia="zh-TW"/>
        </w:rPr>
        <w:t>,</w:t>
      </w:r>
      <w:r>
        <w:rPr>
          <w:rFonts w:ascii="Calibri" w:eastAsia="Times New Roman" w:hAnsi="Calibri" w:cs="Times New Roman"/>
          <w:color w:val="000000"/>
          <w:lang w:eastAsia="zh-TW"/>
        </w:rPr>
        <w:t xml:space="preserve"> an ideal outcome would be </w:t>
      </w:r>
      <w:r w:rsidR="0072361A">
        <w:rPr>
          <w:rFonts w:ascii="Calibri" w:eastAsia="Times New Roman" w:hAnsi="Calibri" w:cs="Times New Roman"/>
          <w:color w:val="000000"/>
          <w:lang w:eastAsia="zh-TW"/>
        </w:rPr>
        <w:t xml:space="preserve">for both </w:t>
      </w:r>
      <w:r w:rsidR="00DE0DF6">
        <w:rPr>
          <w:rFonts w:ascii="Calibri" w:eastAsia="Times New Roman" w:hAnsi="Calibri" w:cs="Times New Roman"/>
          <w:color w:val="000000"/>
          <w:lang w:eastAsia="zh-TW"/>
        </w:rPr>
        <w:t>groups</w:t>
      </w:r>
      <w:r w:rsidR="005F7FE4">
        <w:rPr>
          <w:rFonts w:ascii="Calibri" w:eastAsia="Times New Roman" w:hAnsi="Calibri" w:cs="Times New Roman"/>
          <w:color w:val="000000"/>
          <w:lang w:eastAsia="zh-TW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zh-TW"/>
        </w:rPr>
        <w:t xml:space="preserve">to co-lead the development of the manuscript. </w:t>
      </w:r>
      <w:r w:rsidRPr="00D4532A">
        <w:rPr>
          <w:rFonts w:ascii="Calibri" w:eastAsia="Times New Roman" w:hAnsi="Calibri" w:cs="Times New Roman"/>
          <w:color w:val="000000"/>
          <w:lang w:eastAsia="zh-TW"/>
        </w:rPr>
        <w:t xml:space="preserve"> </w:t>
      </w:r>
      <w:r w:rsidR="005D2053">
        <w:rPr>
          <w:rFonts w:ascii="Calibri" w:eastAsia="Times New Roman" w:hAnsi="Calibri" w:cs="Times New Roman"/>
          <w:color w:val="000000"/>
          <w:lang w:eastAsia="zh-TW"/>
        </w:rPr>
        <w:t xml:space="preserve">Alternatively, they can work together on the content of each manuscript to avoid overlap/duplication and create separate independent manuscripts with unique perspective/content. </w:t>
      </w:r>
    </w:p>
    <w:p w14:paraId="2FDF6F1E" w14:textId="23A3FD3E" w:rsidR="0052154B" w:rsidRDefault="00AE3533" w:rsidP="001B0D21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>The lead</w:t>
      </w:r>
      <w:r w:rsidR="00D90F04">
        <w:t>(s)</w:t>
      </w:r>
      <w:r>
        <w:t xml:space="preserve"> of </w:t>
      </w:r>
      <w:r w:rsidR="00222F00">
        <w:t xml:space="preserve">each manuscript </w:t>
      </w:r>
      <w:r>
        <w:t>can invite additional ISPE and non-ISPE members (e.g., collaboration with other organizations/clinical societies) to be co-authors</w:t>
      </w:r>
      <w:r w:rsidR="00200AA6">
        <w:t>, as appropriate.</w:t>
      </w:r>
    </w:p>
    <w:p w14:paraId="6536EB1E" w14:textId="03207A40" w:rsidR="000230D9" w:rsidRDefault="000230D9" w:rsidP="001B0D21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>All authors need to fulfill ICMJE authorship criteria</w:t>
      </w:r>
      <w:r w:rsidR="007419D1">
        <w:t xml:space="preserve">. The total N of co-authors (as decided by manuscript proposal leads) may be limited (e.g., &lt;10-15) to establish efficient process. </w:t>
      </w:r>
    </w:p>
    <w:p w14:paraId="1EE13043" w14:textId="77777777" w:rsidR="00E46440" w:rsidRDefault="00E46440" w:rsidP="001B0D21">
      <w:pPr>
        <w:pStyle w:val="ListParagraph"/>
        <w:spacing w:after="0" w:line="240" w:lineRule="auto"/>
      </w:pPr>
    </w:p>
    <w:p w14:paraId="392A278B" w14:textId="09561773" w:rsidR="00B3758A" w:rsidRDefault="00B3758A" w:rsidP="001B0D2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B3758A">
        <w:rPr>
          <w:b/>
          <w:bCs/>
        </w:rPr>
        <w:t>ISPE endorsement</w:t>
      </w:r>
    </w:p>
    <w:p w14:paraId="46CE4994" w14:textId="77777777" w:rsidR="00222BE3" w:rsidRPr="00B3758A" w:rsidRDefault="00222BE3" w:rsidP="001B0D21">
      <w:pPr>
        <w:pStyle w:val="ListParagraph"/>
        <w:spacing w:after="0" w:line="240" w:lineRule="auto"/>
        <w:ind w:left="360"/>
        <w:rPr>
          <w:b/>
          <w:bCs/>
        </w:rPr>
      </w:pPr>
    </w:p>
    <w:p w14:paraId="765B127D" w14:textId="6CD17E86" w:rsidR="00E46440" w:rsidRDefault="003C70AF" w:rsidP="001B0D21">
      <w:pPr>
        <w:pStyle w:val="ListParagraph"/>
        <w:spacing w:after="0" w:line="240" w:lineRule="auto"/>
        <w:ind w:left="360"/>
      </w:pPr>
      <w:r>
        <w:t xml:space="preserve">It is </w:t>
      </w:r>
      <w:r w:rsidR="00851799">
        <w:t xml:space="preserve">encouraged </w:t>
      </w:r>
      <w:r>
        <w:t xml:space="preserve">that each </w:t>
      </w:r>
      <w:r w:rsidR="00E46440">
        <w:t xml:space="preserve">manuscript </w:t>
      </w:r>
      <w:r>
        <w:t xml:space="preserve">will be </w:t>
      </w:r>
      <w:r w:rsidR="00E46440">
        <w:t>endorsed by ISPE</w:t>
      </w:r>
      <w:r w:rsidR="00851799">
        <w:t>, as applicable</w:t>
      </w:r>
      <w:r w:rsidR="00E46440">
        <w:t>. The ISPE endorsement process is described in section 1.7.</w:t>
      </w:r>
      <w:r w:rsidR="004E5198">
        <w:t>1</w:t>
      </w:r>
      <w:r w:rsidR="00E46440">
        <w:t xml:space="preserve">. of the </w:t>
      </w:r>
      <w:hyperlink r:id="rId10" w:history="1">
        <w:r w:rsidR="007A42E6" w:rsidRPr="007A42E6">
          <w:rPr>
            <w:rStyle w:val="Hyperlink"/>
          </w:rPr>
          <w:t>ISPE Policy Manual</w:t>
        </w:r>
      </w:hyperlink>
      <w:r w:rsidR="007A42E6">
        <w:t xml:space="preserve">. </w:t>
      </w:r>
      <w:r w:rsidR="0034638C">
        <w:t xml:space="preserve">In brief, to initiate the ISPE endorsement process for a manuscript, the co-leads of the </w:t>
      </w:r>
      <w:r w:rsidR="0034638C" w:rsidRPr="0034638C">
        <w:t xml:space="preserve">Publications &amp; Education Working Group </w:t>
      </w:r>
      <w:r w:rsidR="0034638C">
        <w:t>will inform</w:t>
      </w:r>
      <w:r w:rsidR="00222BE3">
        <w:t xml:space="preserve"> the</w:t>
      </w:r>
      <w:r w:rsidR="0034638C">
        <w:t xml:space="preserve"> Public Policy committee chair via email with an attachment of the completed manuscript. The Public Policy committee will have 1-2 weeks to review and approve </w:t>
      </w:r>
      <w:r w:rsidR="008F5FB5">
        <w:t>before</w:t>
      </w:r>
      <w:r w:rsidR="0034638C">
        <w:t xml:space="preserve"> send</w:t>
      </w:r>
      <w:r w:rsidR="008F5FB5">
        <w:t>ing</w:t>
      </w:r>
      <w:r w:rsidR="0034638C">
        <w:t xml:space="preserve"> it </w:t>
      </w:r>
      <w:r w:rsidR="004E5198">
        <w:t>for</w:t>
      </w:r>
      <w:r w:rsidR="0034638C">
        <w:t xml:space="preserve"> ISPE membership review. After ISPE membership review, the authors will </w:t>
      </w:r>
      <w:r w:rsidR="008F5FB5">
        <w:t xml:space="preserve">receive </w:t>
      </w:r>
      <w:r w:rsidR="0034638C">
        <w:t xml:space="preserve">a document </w:t>
      </w:r>
      <w:r w:rsidR="0095123C">
        <w:t xml:space="preserve">specifying </w:t>
      </w:r>
      <w:r w:rsidR="0034638C">
        <w:t>line by line suggestions for further revisions. Once the revisions are complete, the Public Policy</w:t>
      </w:r>
      <w:r w:rsidR="00222BE3">
        <w:t xml:space="preserve"> committee</w:t>
      </w:r>
      <w:r w:rsidR="0034638C">
        <w:t xml:space="preserve"> will escalate the final version of the manuscript to ISPE board review for full approval. Once it</w:t>
      </w:r>
      <w:r w:rsidR="00222BE3">
        <w:t xml:space="preserve"> is</w:t>
      </w:r>
      <w:r w:rsidR="0034638C">
        <w:t xml:space="preserve"> approved by the </w:t>
      </w:r>
      <w:r w:rsidR="0095123C">
        <w:t>Board</w:t>
      </w:r>
      <w:r w:rsidR="0034638C">
        <w:t xml:space="preserve">, the ISPE office will inform co-authors and the co-leads of </w:t>
      </w:r>
      <w:r w:rsidR="0034638C" w:rsidRPr="0034638C">
        <w:t>Publications &amp; Education Working Group</w:t>
      </w:r>
      <w:r w:rsidR="0034638C">
        <w:t xml:space="preserve"> on the decision </w:t>
      </w:r>
      <w:r w:rsidR="0095123C">
        <w:t>of</w:t>
      </w:r>
      <w:r w:rsidR="0034638C">
        <w:t xml:space="preserve"> ISPE endorsement. </w:t>
      </w:r>
    </w:p>
    <w:p w14:paraId="47C8B83B" w14:textId="77777777" w:rsidR="00F16A67" w:rsidRDefault="00F16A67" w:rsidP="001B0D21">
      <w:pPr>
        <w:pStyle w:val="ListParagraph"/>
        <w:spacing w:after="0" w:line="240" w:lineRule="auto"/>
        <w:ind w:left="360"/>
      </w:pPr>
    </w:p>
    <w:p w14:paraId="30BB93D0" w14:textId="0D101D5A" w:rsidR="001E7378" w:rsidRDefault="001E7378" w:rsidP="001B0D2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BD4682">
        <w:rPr>
          <w:b/>
          <w:bCs/>
        </w:rPr>
        <w:t>Other groups</w:t>
      </w:r>
    </w:p>
    <w:p w14:paraId="3E42B8DF" w14:textId="77777777" w:rsidR="001B0D21" w:rsidRPr="00BD4682" w:rsidRDefault="001B0D21" w:rsidP="001B0D21">
      <w:pPr>
        <w:pStyle w:val="ListParagraph"/>
        <w:spacing w:after="0" w:line="240" w:lineRule="auto"/>
        <w:ind w:left="360"/>
        <w:rPr>
          <w:b/>
          <w:bCs/>
        </w:rPr>
      </w:pPr>
    </w:p>
    <w:p w14:paraId="2CF2F32C" w14:textId="0AAA5A77" w:rsidR="00F16A67" w:rsidRPr="00D715D5" w:rsidRDefault="00F16A67" w:rsidP="001B0D21">
      <w:pPr>
        <w:pStyle w:val="ListParagraph"/>
        <w:spacing w:after="0" w:line="240" w:lineRule="auto"/>
        <w:ind w:left="360"/>
      </w:pPr>
      <w:r w:rsidRPr="00D715D5">
        <w:t xml:space="preserve">Given the </w:t>
      </w:r>
      <w:r w:rsidR="00DE0DF6" w:rsidRPr="00D715D5">
        <w:t xml:space="preserve">ISPE </w:t>
      </w:r>
      <w:r w:rsidRPr="00D715D5">
        <w:t>Policy Committee and</w:t>
      </w:r>
      <w:r w:rsidR="00DE0DF6" w:rsidRPr="00D715D5">
        <w:t xml:space="preserve"> ISPE </w:t>
      </w:r>
      <w:r w:rsidRPr="00D715D5">
        <w:t xml:space="preserve">Publications Committee are both involved </w:t>
      </w:r>
      <w:r w:rsidR="00DE0DF6" w:rsidRPr="00D715D5">
        <w:t xml:space="preserve">in the </w:t>
      </w:r>
      <w:r w:rsidRPr="00D715D5">
        <w:t>ISPE manuscript</w:t>
      </w:r>
      <w:r w:rsidR="00DE0DF6" w:rsidRPr="00D715D5">
        <w:t xml:space="preserve"> </w:t>
      </w:r>
      <w:r w:rsidR="00A87C0F">
        <w:t>endorsement and tracking process</w:t>
      </w:r>
      <w:r w:rsidRPr="00D715D5">
        <w:t>,</w:t>
      </w:r>
      <w:r w:rsidR="00DE0DF6" w:rsidRPr="00D715D5">
        <w:t xml:space="preserve"> the Publications &amp; Education Working Group</w:t>
      </w:r>
      <w:r w:rsidRPr="00D715D5">
        <w:t xml:space="preserve"> </w:t>
      </w:r>
      <w:r w:rsidR="00DE0DF6" w:rsidRPr="00D715D5">
        <w:t xml:space="preserve">will </w:t>
      </w:r>
      <w:r w:rsidRPr="00D715D5">
        <w:t>provide regular updates to these committees</w:t>
      </w:r>
      <w:r w:rsidR="004F2D01" w:rsidRPr="00D715D5">
        <w:t xml:space="preserve"> on RWE</w:t>
      </w:r>
      <w:r w:rsidR="00DE0DF6" w:rsidRPr="00D715D5">
        <w:t xml:space="preserve"> SIG</w:t>
      </w:r>
      <w:r w:rsidR="004F2D01" w:rsidRPr="00D715D5">
        <w:t xml:space="preserve"> manuscript</w:t>
      </w:r>
      <w:r w:rsidR="00DC0EED">
        <w:t xml:space="preserve"> </w:t>
      </w:r>
      <w:proofErr w:type="gramStart"/>
      <w:r w:rsidR="00DC0EED">
        <w:t>proposals</w:t>
      </w:r>
      <w:proofErr w:type="gramEnd"/>
    </w:p>
    <w:p w14:paraId="7DFA4BA1" w14:textId="7CF10F7A" w:rsidR="00AE3533" w:rsidRDefault="00AE3533" w:rsidP="001B0D21">
      <w:pPr>
        <w:spacing w:after="0" w:line="240" w:lineRule="auto"/>
        <w:ind w:left="720"/>
      </w:pPr>
    </w:p>
    <w:p w14:paraId="335111BE" w14:textId="77777777" w:rsidR="008262A2" w:rsidRDefault="00445FD8" w:rsidP="001B0D21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14"/>
        <w:gridCol w:w="2179"/>
        <w:gridCol w:w="2461"/>
      </w:tblGrid>
      <w:tr w:rsidR="008262A2" w14:paraId="7C86C35B" w14:textId="77777777" w:rsidTr="00B8058C">
        <w:tc>
          <w:tcPr>
            <w:tcW w:w="2396" w:type="dxa"/>
          </w:tcPr>
          <w:p w14:paraId="22E916CA" w14:textId="312B20DE" w:rsidR="008262A2" w:rsidRDefault="008262A2" w:rsidP="001B0D21">
            <w:r>
              <w:t>Version</w:t>
            </w:r>
          </w:p>
        </w:tc>
        <w:tc>
          <w:tcPr>
            <w:tcW w:w="2314" w:type="dxa"/>
          </w:tcPr>
          <w:p w14:paraId="631C168D" w14:textId="420AE66B" w:rsidR="008262A2" w:rsidRDefault="008262A2" w:rsidP="001B0D21">
            <w:r>
              <w:t>Date</w:t>
            </w:r>
          </w:p>
        </w:tc>
        <w:tc>
          <w:tcPr>
            <w:tcW w:w="2179" w:type="dxa"/>
          </w:tcPr>
          <w:p w14:paraId="2DAB8E19" w14:textId="35806F68" w:rsidR="008262A2" w:rsidRDefault="008262A2" w:rsidP="001B0D21">
            <w:r>
              <w:t>Changes made</w:t>
            </w:r>
          </w:p>
        </w:tc>
        <w:tc>
          <w:tcPr>
            <w:tcW w:w="2461" w:type="dxa"/>
          </w:tcPr>
          <w:p w14:paraId="479A10E4" w14:textId="7AC333EA" w:rsidR="008262A2" w:rsidRDefault="008262A2" w:rsidP="001B0D21">
            <w:r>
              <w:t>Approved by and Date</w:t>
            </w:r>
          </w:p>
        </w:tc>
      </w:tr>
      <w:tr w:rsidR="008262A2" w14:paraId="6FFCCEF4" w14:textId="77777777" w:rsidTr="00B8058C">
        <w:tc>
          <w:tcPr>
            <w:tcW w:w="2396" w:type="dxa"/>
          </w:tcPr>
          <w:p w14:paraId="590173AA" w14:textId="6774DF10" w:rsidR="008262A2" w:rsidRDefault="008262A2" w:rsidP="001B0D21">
            <w:r>
              <w:t>1.0</w:t>
            </w:r>
          </w:p>
        </w:tc>
        <w:tc>
          <w:tcPr>
            <w:tcW w:w="2314" w:type="dxa"/>
          </w:tcPr>
          <w:p w14:paraId="27BF3978" w14:textId="6177C3CB" w:rsidR="008262A2" w:rsidRDefault="008262A2" w:rsidP="001B0D21">
            <w:r>
              <w:t>DDMMYYYY</w:t>
            </w:r>
          </w:p>
        </w:tc>
        <w:tc>
          <w:tcPr>
            <w:tcW w:w="2179" w:type="dxa"/>
          </w:tcPr>
          <w:p w14:paraId="58171608" w14:textId="085354C5" w:rsidR="008262A2" w:rsidRDefault="008262A2" w:rsidP="001B0D21">
            <w:r>
              <w:t>Initial draft guidance</w:t>
            </w:r>
          </w:p>
        </w:tc>
        <w:tc>
          <w:tcPr>
            <w:tcW w:w="2461" w:type="dxa"/>
          </w:tcPr>
          <w:p w14:paraId="6E0C7BF8" w14:textId="3EF6A964" w:rsidR="008262A2" w:rsidRDefault="008262A2" w:rsidP="001B0D21">
            <w:r>
              <w:t>XXXX on DDMMYYY</w:t>
            </w:r>
          </w:p>
        </w:tc>
      </w:tr>
    </w:tbl>
    <w:p w14:paraId="7D1073F9" w14:textId="2BB75553" w:rsidR="00445FD8" w:rsidRDefault="00445FD8" w:rsidP="001B0D21">
      <w:pPr>
        <w:spacing w:after="0" w:line="240" w:lineRule="auto"/>
      </w:pPr>
    </w:p>
    <w:p w14:paraId="0C155CDA" w14:textId="13DC14A3" w:rsidR="00FD33A4" w:rsidRDefault="00FD33A4" w:rsidP="001B0D21">
      <w:pPr>
        <w:spacing w:after="0" w:line="240" w:lineRule="auto"/>
      </w:pPr>
      <w:r w:rsidRPr="00FD33A4">
        <w:cr/>
      </w:r>
    </w:p>
    <w:p w14:paraId="1F82D4EA" w14:textId="77777777" w:rsidR="00FD33A4" w:rsidRDefault="00FD33A4" w:rsidP="00200AA6">
      <w:pPr>
        <w:ind w:left="720"/>
      </w:pPr>
    </w:p>
    <w:sectPr w:rsidR="00FD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EF4C" w14:textId="77777777" w:rsidR="00EA5535" w:rsidRDefault="00EA5535" w:rsidP="00AE3533">
      <w:pPr>
        <w:spacing w:after="0" w:line="240" w:lineRule="auto"/>
      </w:pPr>
      <w:r>
        <w:separator/>
      </w:r>
    </w:p>
  </w:endnote>
  <w:endnote w:type="continuationSeparator" w:id="0">
    <w:p w14:paraId="55F041EB" w14:textId="77777777" w:rsidR="00EA5535" w:rsidRDefault="00EA5535" w:rsidP="00AE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0568" w14:textId="77777777" w:rsidR="00EA5535" w:rsidRDefault="00EA5535" w:rsidP="00AE3533">
      <w:pPr>
        <w:spacing w:after="0" w:line="240" w:lineRule="auto"/>
      </w:pPr>
      <w:r>
        <w:separator/>
      </w:r>
    </w:p>
  </w:footnote>
  <w:footnote w:type="continuationSeparator" w:id="0">
    <w:p w14:paraId="1D9CE764" w14:textId="77777777" w:rsidR="00EA5535" w:rsidRDefault="00EA5535" w:rsidP="00AE3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3"/>
    <w:multiLevelType w:val="hybridMultilevel"/>
    <w:tmpl w:val="3B6E475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9A2D50"/>
    <w:multiLevelType w:val="hybridMultilevel"/>
    <w:tmpl w:val="856C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202B9"/>
    <w:multiLevelType w:val="hybridMultilevel"/>
    <w:tmpl w:val="662C295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D6C19"/>
    <w:multiLevelType w:val="hybridMultilevel"/>
    <w:tmpl w:val="868AE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601489">
    <w:abstractNumId w:val="1"/>
  </w:num>
  <w:num w:numId="2" w16cid:durableId="818111467">
    <w:abstractNumId w:val="0"/>
  </w:num>
  <w:num w:numId="3" w16cid:durableId="1240749786">
    <w:abstractNumId w:val="2"/>
  </w:num>
  <w:num w:numId="4" w16cid:durableId="166377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8"/>
    <w:rsid w:val="000116A6"/>
    <w:rsid w:val="00022B21"/>
    <w:rsid w:val="000230D9"/>
    <w:rsid w:val="00036D3D"/>
    <w:rsid w:val="00042BFD"/>
    <w:rsid w:val="00061FF2"/>
    <w:rsid w:val="0009317F"/>
    <w:rsid w:val="00097C62"/>
    <w:rsid w:val="000A326C"/>
    <w:rsid w:val="00101DAD"/>
    <w:rsid w:val="001249E3"/>
    <w:rsid w:val="00191D1F"/>
    <w:rsid w:val="00192024"/>
    <w:rsid w:val="001A4001"/>
    <w:rsid w:val="001B0D21"/>
    <w:rsid w:val="001B7354"/>
    <w:rsid w:val="001E7378"/>
    <w:rsid w:val="00200AA6"/>
    <w:rsid w:val="00222BE3"/>
    <w:rsid w:val="00222F00"/>
    <w:rsid w:val="0023275C"/>
    <w:rsid w:val="00267770"/>
    <w:rsid w:val="002834B5"/>
    <w:rsid w:val="00292585"/>
    <w:rsid w:val="002B5029"/>
    <w:rsid w:val="003206B8"/>
    <w:rsid w:val="00326A6D"/>
    <w:rsid w:val="00327407"/>
    <w:rsid w:val="00343188"/>
    <w:rsid w:val="0034638C"/>
    <w:rsid w:val="00354052"/>
    <w:rsid w:val="00362F8B"/>
    <w:rsid w:val="00367EE6"/>
    <w:rsid w:val="00376A70"/>
    <w:rsid w:val="003A03A8"/>
    <w:rsid w:val="003B40D9"/>
    <w:rsid w:val="003C4E0C"/>
    <w:rsid w:val="003C70AF"/>
    <w:rsid w:val="003F318D"/>
    <w:rsid w:val="003F3817"/>
    <w:rsid w:val="0040433B"/>
    <w:rsid w:val="00445FD8"/>
    <w:rsid w:val="0046480A"/>
    <w:rsid w:val="00484800"/>
    <w:rsid w:val="00492579"/>
    <w:rsid w:val="004930FA"/>
    <w:rsid w:val="00493845"/>
    <w:rsid w:val="004A3D3B"/>
    <w:rsid w:val="004A4E19"/>
    <w:rsid w:val="004D0521"/>
    <w:rsid w:val="004D5F4D"/>
    <w:rsid w:val="004E5198"/>
    <w:rsid w:val="004F2D01"/>
    <w:rsid w:val="0052154B"/>
    <w:rsid w:val="00521563"/>
    <w:rsid w:val="005241B4"/>
    <w:rsid w:val="0052743C"/>
    <w:rsid w:val="00533887"/>
    <w:rsid w:val="005B02C1"/>
    <w:rsid w:val="005B1F5F"/>
    <w:rsid w:val="005C6B75"/>
    <w:rsid w:val="005D2053"/>
    <w:rsid w:val="005F7FE4"/>
    <w:rsid w:val="00624144"/>
    <w:rsid w:val="006679AE"/>
    <w:rsid w:val="00691415"/>
    <w:rsid w:val="006C197B"/>
    <w:rsid w:val="006C6023"/>
    <w:rsid w:val="006E5056"/>
    <w:rsid w:val="00704321"/>
    <w:rsid w:val="0072361A"/>
    <w:rsid w:val="007251D1"/>
    <w:rsid w:val="007360DE"/>
    <w:rsid w:val="007419D1"/>
    <w:rsid w:val="00751F6E"/>
    <w:rsid w:val="00752308"/>
    <w:rsid w:val="00757E49"/>
    <w:rsid w:val="00762780"/>
    <w:rsid w:val="00766DA1"/>
    <w:rsid w:val="00787983"/>
    <w:rsid w:val="00796DB6"/>
    <w:rsid w:val="00796DE5"/>
    <w:rsid w:val="007A35C8"/>
    <w:rsid w:val="007A42E6"/>
    <w:rsid w:val="007A6095"/>
    <w:rsid w:val="007B6541"/>
    <w:rsid w:val="007F0DFA"/>
    <w:rsid w:val="00821670"/>
    <w:rsid w:val="008262A2"/>
    <w:rsid w:val="00851799"/>
    <w:rsid w:val="008579C8"/>
    <w:rsid w:val="00877589"/>
    <w:rsid w:val="00880B7A"/>
    <w:rsid w:val="00881D65"/>
    <w:rsid w:val="00893567"/>
    <w:rsid w:val="008B2132"/>
    <w:rsid w:val="008B51A9"/>
    <w:rsid w:val="008D3842"/>
    <w:rsid w:val="008F5FB5"/>
    <w:rsid w:val="00921205"/>
    <w:rsid w:val="00934996"/>
    <w:rsid w:val="00945DB6"/>
    <w:rsid w:val="0095123C"/>
    <w:rsid w:val="009559D7"/>
    <w:rsid w:val="00961C05"/>
    <w:rsid w:val="0097019C"/>
    <w:rsid w:val="009704B0"/>
    <w:rsid w:val="009A332B"/>
    <w:rsid w:val="009B38B8"/>
    <w:rsid w:val="009C4900"/>
    <w:rsid w:val="00A42852"/>
    <w:rsid w:val="00A44691"/>
    <w:rsid w:val="00A53F34"/>
    <w:rsid w:val="00A8301B"/>
    <w:rsid w:val="00A86A2E"/>
    <w:rsid w:val="00A87C0F"/>
    <w:rsid w:val="00AE3533"/>
    <w:rsid w:val="00AE58C6"/>
    <w:rsid w:val="00B029B7"/>
    <w:rsid w:val="00B213BD"/>
    <w:rsid w:val="00B3758A"/>
    <w:rsid w:val="00B53A91"/>
    <w:rsid w:val="00B65FD8"/>
    <w:rsid w:val="00B8058C"/>
    <w:rsid w:val="00BA4597"/>
    <w:rsid w:val="00BD4682"/>
    <w:rsid w:val="00BD488B"/>
    <w:rsid w:val="00C179BC"/>
    <w:rsid w:val="00C30675"/>
    <w:rsid w:val="00C3113C"/>
    <w:rsid w:val="00C3479E"/>
    <w:rsid w:val="00C971BA"/>
    <w:rsid w:val="00C974B1"/>
    <w:rsid w:val="00CD2F15"/>
    <w:rsid w:val="00D27627"/>
    <w:rsid w:val="00D4532A"/>
    <w:rsid w:val="00D715D5"/>
    <w:rsid w:val="00D85C6F"/>
    <w:rsid w:val="00D90F04"/>
    <w:rsid w:val="00D969A9"/>
    <w:rsid w:val="00DA52EF"/>
    <w:rsid w:val="00DA6AE4"/>
    <w:rsid w:val="00DB2655"/>
    <w:rsid w:val="00DC0EED"/>
    <w:rsid w:val="00DC2F68"/>
    <w:rsid w:val="00DE0DF6"/>
    <w:rsid w:val="00DE7972"/>
    <w:rsid w:val="00E006F2"/>
    <w:rsid w:val="00E041C6"/>
    <w:rsid w:val="00E21097"/>
    <w:rsid w:val="00E234F6"/>
    <w:rsid w:val="00E3600D"/>
    <w:rsid w:val="00E463E7"/>
    <w:rsid w:val="00E46440"/>
    <w:rsid w:val="00E4706D"/>
    <w:rsid w:val="00E47CEF"/>
    <w:rsid w:val="00E84506"/>
    <w:rsid w:val="00EA5535"/>
    <w:rsid w:val="00EB4344"/>
    <w:rsid w:val="00EC0440"/>
    <w:rsid w:val="00ED0355"/>
    <w:rsid w:val="00EF28B1"/>
    <w:rsid w:val="00F16A67"/>
    <w:rsid w:val="00F3239B"/>
    <w:rsid w:val="00F63F06"/>
    <w:rsid w:val="00F86E9B"/>
    <w:rsid w:val="00FC3FE4"/>
    <w:rsid w:val="00FD33A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8B5A28"/>
  <w15:chartTrackingRefBased/>
  <w15:docId w15:val="{D528C936-CA36-473D-86E9-AE8315E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33"/>
  </w:style>
  <w:style w:type="paragraph" w:styleId="Footer">
    <w:name w:val="footer"/>
    <w:basedOn w:val="Normal"/>
    <w:link w:val="FooterChar"/>
    <w:uiPriority w:val="99"/>
    <w:unhideWhenUsed/>
    <w:rsid w:val="00AE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33"/>
  </w:style>
  <w:style w:type="paragraph" w:styleId="ListParagraph">
    <w:name w:val="List Paragraph"/>
    <w:basedOn w:val="Normal"/>
    <w:uiPriority w:val="34"/>
    <w:qFormat/>
    <w:rsid w:val="00AE3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4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A6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C49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3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D3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hrome-extension://efaidnbmnnnibpcajpcglclefindmkaj/https:/www.pharmacoepi.org/pub/?id=FF2E0B27-E5F2-877C-B787-3E95D07D061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A2F49C38-4B60-4734-BA19-84C7D8F32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1E5AA-EE2D-41E9-A8A6-6F4E20FAEC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Burcu, Mehmet</dc:creator>
  <cp:keywords/>
  <dc:description/>
  <cp:lastModifiedBy>Burcu, Mehmet</cp:lastModifiedBy>
  <cp:revision>3</cp:revision>
  <cp:lastPrinted>2023-08-09T00:57:00Z</cp:lastPrinted>
  <dcterms:created xsi:type="dcterms:W3CDTF">2023-11-13T22:54:00Z</dcterms:created>
  <dcterms:modified xsi:type="dcterms:W3CDTF">2023-12-13T14:34:00Z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3cebfdf4-cda4-4894-96ae-5ff29ed60815</vt:lpwstr>
  </property>
  <property fmtid="{D5CDD505-2E9C-101B-9397-08002B2CF9AE}" pid="3" name="bjSaver">
    <vt:lpwstr>r8MHk8vfCrtgpmoRPeB1NHEkCR8No7NR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_AdHocReviewCycleID">
    <vt:i4>385038791</vt:i4>
  </property>
  <property fmtid="{D5CDD505-2E9C-101B-9397-08002B2CF9AE}" pid="9" name="_EmailSubject">
    <vt:lpwstr>Manuscript and educational activity proposal templates (attached)</vt:lpwstr>
  </property>
  <property fmtid="{D5CDD505-2E9C-101B-9397-08002B2CF9AE}" pid="10" name="_AuthorEmail">
    <vt:lpwstr>mehmet.burcu@merck.com</vt:lpwstr>
  </property>
  <property fmtid="{D5CDD505-2E9C-101B-9397-08002B2CF9AE}" pid="11" name="_AuthorEmailDisplayName">
    <vt:lpwstr>Burcu, Mehmet</vt:lpwstr>
  </property>
  <property fmtid="{D5CDD505-2E9C-101B-9397-08002B2CF9AE}" pid="12" name="MSIP_Label_e81acc0d-dcc4-4dc9-a2c5-be70b05a2fe6_Enabled">
    <vt:lpwstr>true</vt:lpwstr>
  </property>
  <property fmtid="{D5CDD505-2E9C-101B-9397-08002B2CF9AE}" pid="13" name="MSIP_Label_e81acc0d-dcc4-4dc9-a2c5-be70b05a2fe6_SetDate">
    <vt:lpwstr>2023-12-13T14:33:30Z</vt:lpwstr>
  </property>
  <property fmtid="{D5CDD505-2E9C-101B-9397-08002B2CF9AE}" pid="14" name="MSIP_Label_e81acc0d-dcc4-4dc9-a2c5-be70b05a2fe6_Method">
    <vt:lpwstr>Privileged</vt:lpwstr>
  </property>
  <property fmtid="{D5CDD505-2E9C-101B-9397-08002B2CF9AE}" pid="15" name="MSIP_Label_e81acc0d-dcc4-4dc9-a2c5-be70b05a2fe6_Name">
    <vt:lpwstr>e81acc0d-dcc4-4dc9-a2c5-be70b05a2fe6</vt:lpwstr>
  </property>
  <property fmtid="{D5CDD505-2E9C-101B-9397-08002B2CF9AE}" pid="16" name="MSIP_Label_e81acc0d-dcc4-4dc9-a2c5-be70b05a2fe6_SiteId">
    <vt:lpwstr>a00de4ec-48a8-43a6-be74-e31274e2060d</vt:lpwstr>
  </property>
  <property fmtid="{D5CDD505-2E9C-101B-9397-08002B2CF9AE}" pid="17" name="MSIP_Label_e81acc0d-dcc4-4dc9-a2c5-be70b05a2fe6_ActionId">
    <vt:lpwstr>f1c952cf-e9ac-49cf-93f4-88fb0b78fd3a</vt:lpwstr>
  </property>
  <property fmtid="{D5CDD505-2E9C-101B-9397-08002B2CF9AE}" pid="18" name="MSIP_Label_e81acc0d-dcc4-4dc9-a2c5-be70b05a2fe6_ContentBits">
    <vt:lpwstr>0</vt:lpwstr>
  </property>
  <property fmtid="{D5CDD505-2E9C-101B-9397-08002B2CF9AE}" pid="19" name="_PreviousAdHocReviewCycleID">
    <vt:i4>-978693348</vt:i4>
  </property>
</Properties>
</file>